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53E6" w:rsidRPr="007D7C6F" w:rsidRDefault="005253E6" w:rsidP="005253E6">
      <w:pPr>
        <w:pStyle w:val="Ttulo3"/>
        <w:ind w:firstLine="0"/>
      </w:pPr>
      <w:r w:rsidRPr="007D7C6F">
        <w:t xml:space="preserve">                                       DECRETO Nº </w:t>
      </w:r>
      <w:r>
        <w:t>12504</w:t>
      </w:r>
      <w:r w:rsidRPr="007D7C6F">
        <w:t xml:space="preserve">, DE </w:t>
      </w:r>
      <w:r>
        <w:t xml:space="preserve">30 </w:t>
      </w:r>
      <w:r w:rsidRPr="007D7C6F">
        <w:t xml:space="preserve">DE </w:t>
      </w:r>
      <w:r>
        <w:t>OUTUBRO</w:t>
      </w:r>
      <w:r w:rsidRPr="007D7C6F">
        <w:t xml:space="preserve"> DE 2006</w:t>
      </w:r>
    </w:p>
    <w:p w:rsidR="005253E6" w:rsidRPr="000B5C30" w:rsidRDefault="005253E6" w:rsidP="005253E6">
      <w:pPr>
        <w:jc w:val="center"/>
        <w:rPr>
          <w:b/>
        </w:rPr>
      </w:pPr>
      <w:r w:rsidRPr="000B5C30">
        <w:rPr>
          <w:b/>
        </w:rPr>
        <w:t>PUB</w:t>
      </w:r>
      <w:r>
        <w:rPr>
          <w:b/>
        </w:rPr>
        <w:t>LICADO NO DOE Nº 0628, DE 1º.11.</w:t>
      </w:r>
      <w:r w:rsidRPr="000B5C30">
        <w:rPr>
          <w:b/>
        </w:rPr>
        <w:t>06</w:t>
      </w:r>
    </w:p>
    <w:p w:rsidR="005253E6" w:rsidRPr="007D7C6F" w:rsidRDefault="005253E6" w:rsidP="005253E6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5253E6" w:rsidRPr="007D7C6F" w:rsidRDefault="005253E6" w:rsidP="005253E6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5253E6" w:rsidRPr="007D7C6F" w:rsidRDefault="005253E6" w:rsidP="005253E6">
      <w:pPr>
        <w:pStyle w:val="Recuodecorpodetexto"/>
        <w:widowControl/>
        <w:ind w:left="5180"/>
        <w:rPr>
          <w:color w:val="auto"/>
          <w:sz w:val="24"/>
          <w:szCs w:val="24"/>
        </w:rPr>
      </w:pPr>
      <w:r w:rsidRPr="007D7C6F">
        <w:rPr>
          <w:color w:val="auto"/>
          <w:sz w:val="24"/>
          <w:szCs w:val="24"/>
        </w:rPr>
        <w:t>Altera o RICMS/RO</w:t>
      </w:r>
      <w:r>
        <w:rPr>
          <w:color w:val="auto"/>
          <w:sz w:val="24"/>
          <w:szCs w:val="24"/>
        </w:rPr>
        <w:t>,</w:t>
      </w:r>
      <w:r w:rsidRPr="001447EB">
        <w:rPr>
          <w:color w:val="auto"/>
          <w:sz w:val="24"/>
          <w:szCs w:val="24"/>
        </w:rPr>
        <w:t xml:space="preserve"> </w:t>
      </w:r>
      <w:r w:rsidRPr="005F5C9E">
        <w:rPr>
          <w:color w:val="auto"/>
          <w:sz w:val="24"/>
          <w:szCs w:val="24"/>
        </w:rPr>
        <w:t>o Decreto nº 8945</w:t>
      </w:r>
      <w:r>
        <w:rPr>
          <w:color w:val="auto"/>
          <w:sz w:val="24"/>
          <w:szCs w:val="24"/>
        </w:rPr>
        <w:t xml:space="preserve">, e o </w:t>
      </w:r>
      <w:r w:rsidRPr="007D7C6F">
        <w:rPr>
          <w:color w:val="auto"/>
          <w:sz w:val="24"/>
          <w:szCs w:val="24"/>
        </w:rPr>
        <w:t xml:space="preserve">Decreto nº </w:t>
      </w:r>
      <w:r>
        <w:rPr>
          <w:color w:val="auto"/>
          <w:sz w:val="24"/>
          <w:szCs w:val="24"/>
        </w:rPr>
        <w:t>11140</w:t>
      </w:r>
      <w:r w:rsidRPr="007D7C6F">
        <w:rPr>
          <w:color w:val="auto"/>
          <w:sz w:val="24"/>
          <w:szCs w:val="24"/>
        </w:rPr>
        <w:t xml:space="preserve"> para </w:t>
      </w:r>
      <w:r>
        <w:rPr>
          <w:color w:val="auto"/>
          <w:sz w:val="24"/>
          <w:szCs w:val="24"/>
        </w:rPr>
        <w:t xml:space="preserve">alterar os procedimentos relativos à cobrança do ICMS quando a soma dos </w:t>
      </w:r>
      <w:r w:rsidRPr="001447EB">
        <w:rPr>
          <w:color w:val="auto"/>
          <w:sz w:val="24"/>
          <w:szCs w:val="24"/>
        </w:rPr>
        <w:t>lançamento</w:t>
      </w:r>
      <w:r>
        <w:rPr>
          <w:color w:val="auto"/>
          <w:sz w:val="24"/>
          <w:szCs w:val="24"/>
        </w:rPr>
        <w:t>s</w:t>
      </w:r>
      <w:r w:rsidRPr="001447EB">
        <w:rPr>
          <w:color w:val="auto"/>
          <w:sz w:val="24"/>
          <w:szCs w:val="24"/>
        </w:rPr>
        <w:t xml:space="preserve"> não exceder o valor correspondente a meia (1/2) UPF</w:t>
      </w:r>
      <w:r>
        <w:rPr>
          <w:color w:val="auto"/>
          <w:sz w:val="24"/>
          <w:szCs w:val="24"/>
        </w:rPr>
        <w:t>,</w:t>
      </w:r>
      <w:r w:rsidRPr="001447EB">
        <w:rPr>
          <w:color w:val="auto"/>
          <w:sz w:val="24"/>
          <w:szCs w:val="24"/>
        </w:rPr>
        <w:t xml:space="preserve"> e dá outras providências</w:t>
      </w: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5253E6" w:rsidRPr="007D7C6F" w:rsidRDefault="005253E6" w:rsidP="005253E6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5253E6" w:rsidRPr="007D7C6F" w:rsidRDefault="005253E6" w:rsidP="005253E6">
      <w:pPr>
        <w:ind w:firstLine="540"/>
        <w:jc w:val="both"/>
      </w:pPr>
      <w:r w:rsidRPr="007D7C6F">
        <w:t xml:space="preserve">O </w:t>
      </w:r>
      <w:smartTag w:uri="schemas-houaiss/mini" w:element="verbetes">
        <w:r w:rsidRPr="007D7C6F">
          <w:t>GOVERNADOR</w:t>
        </w:r>
      </w:smartTag>
      <w:r w:rsidRPr="007D7C6F">
        <w:t xml:space="preserve"> DO </w:t>
      </w:r>
      <w:smartTag w:uri="schemas-houaiss/mini" w:element="verbetes">
        <w:r w:rsidRPr="007D7C6F">
          <w:t>ESTADO</w:t>
        </w:r>
      </w:smartTag>
      <w:r w:rsidRPr="007D7C6F">
        <w:t xml:space="preserve"> DE RONDÔNIA, no </w:t>
      </w:r>
      <w:smartTag w:uri="schemas-houaiss/mini" w:element="verbetes">
        <w:r w:rsidRPr="007D7C6F">
          <w:t>uso</w:t>
        </w:r>
      </w:smartTag>
      <w:r w:rsidRPr="007D7C6F">
        <w:t xml:space="preserve"> das </w:t>
      </w:r>
      <w:smartTag w:uri="schemas-houaiss/mini" w:element="verbetes">
        <w:r w:rsidRPr="007D7C6F">
          <w:t>atribuições</w:t>
        </w:r>
      </w:smartTag>
      <w:r w:rsidRPr="007D7C6F">
        <w:t xml:space="preserve"> </w:t>
      </w:r>
      <w:smartTag w:uri="schemas-houaiss/mini" w:element="verbetes">
        <w:r w:rsidRPr="007D7C6F">
          <w:t>que</w:t>
        </w:r>
      </w:smartTag>
      <w:r w:rsidRPr="007D7C6F">
        <w:t xml:space="preserve"> </w:t>
      </w:r>
      <w:smartTag w:uri="schemas-houaiss/mini" w:element="verbetes">
        <w:r w:rsidRPr="007D7C6F">
          <w:t>lhe</w:t>
        </w:r>
      </w:smartTag>
      <w:r w:rsidRPr="007D7C6F">
        <w:t xml:space="preserve"> confere o </w:t>
      </w:r>
      <w:smartTag w:uri="schemas-houaiss/mini" w:element="verbetes">
        <w:r w:rsidRPr="007D7C6F">
          <w:t>artigo</w:t>
        </w:r>
      </w:smartTag>
      <w:r w:rsidRPr="007D7C6F">
        <w:t xml:space="preserve"> 65, </w:t>
      </w:r>
      <w:smartTag w:uri="schemas-houaiss/mini" w:element="verbetes">
        <w:r w:rsidRPr="007D7C6F">
          <w:t>inciso</w:t>
        </w:r>
      </w:smartTag>
      <w:r w:rsidRPr="007D7C6F">
        <w:t xml:space="preserve"> V, da Constituição Estadual;</w:t>
      </w:r>
    </w:p>
    <w:p w:rsidR="005253E6" w:rsidRPr="007D7C6F" w:rsidRDefault="005253E6" w:rsidP="005253E6">
      <w:pPr>
        <w:ind w:firstLine="540"/>
        <w:jc w:val="both"/>
      </w:pPr>
    </w:p>
    <w:p w:rsidR="005253E6" w:rsidRPr="002A0A85" w:rsidRDefault="005253E6" w:rsidP="005253E6">
      <w:pPr>
        <w:ind w:firstLine="540"/>
        <w:jc w:val="both"/>
      </w:pPr>
      <w:r w:rsidRPr="002A0A85">
        <w:t>CONSIDERANDO a necessidade de simplificação dos procedimentos relativos à cobrança do ICMS</w:t>
      </w:r>
      <w:r>
        <w:t xml:space="preserve"> na entrada de mercadorias no Estado de Rondônia</w:t>
      </w:r>
      <w:r w:rsidRPr="002A0A85">
        <w:t>;</w:t>
      </w:r>
    </w:p>
    <w:p w:rsidR="005253E6" w:rsidRPr="00F20161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 w:rsidRPr="00F20161">
        <w:t xml:space="preserve">CONSIDERANDO a necessidade de aperfeiçoar o RICMS/RO às </w:t>
      </w:r>
      <w:r>
        <w:t>alterações promovidas n</w:t>
      </w:r>
      <w:r w:rsidRPr="00F20161">
        <w:t>o Convênio ICMS 03/99</w:t>
      </w:r>
      <w:r>
        <w:t xml:space="preserve"> e no Protocolo ICMS 26/01</w:t>
      </w:r>
      <w:r w:rsidRPr="00F20161">
        <w:t>;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>
        <w:t>CONSIDERANDO a oportunidade de se inserir no RICMS/RO a disciplina do Convênio ICMS 42/01;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>
        <w:t>CONSIDERANDO a necessidade de prorrogar o prazo imposto ao cumprimento do disposto no artigo 2º do Decreto 12309/06;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>
        <w:t>CONSIDERANDO</w:t>
      </w:r>
      <w:r>
        <w:rPr>
          <w:b/>
        </w:rPr>
        <w:t xml:space="preserve"> </w:t>
      </w:r>
      <w:r>
        <w:t>a faculdade conferida ao Estado nos termos do § 17 do Ajuste SINIEF 10/97;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>
        <w:t xml:space="preserve">CONSIDERANDO a necessidade de se promover ajustes ao item 21 da Tabela I do Anexo II, item 9 da Tabela I do Anexo IV, e à redação de outros dispositivos do RICMS/RO; e </w:t>
      </w:r>
    </w:p>
    <w:p w:rsidR="005253E6" w:rsidRDefault="005253E6" w:rsidP="005253E6">
      <w:pPr>
        <w:ind w:firstLine="540"/>
        <w:jc w:val="both"/>
      </w:pPr>
    </w:p>
    <w:p w:rsidR="005253E6" w:rsidRPr="00F20161" w:rsidRDefault="005253E6" w:rsidP="005253E6">
      <w:pPr>
        <w:ind w:firstLine="540"/>
        <w:jc w:val="both"/>
      </w:pPr>
      <w:r>
        <w:t xml:space="preserve">CONSIDERANDO a necessidade de se rever o tratamento tributário dado às operações </w:t>
      </w:r>
      <w:r w:rsidRPr="00A01793">
        <w:t xml:space="preserve">internas e interestaduais </w:t>
      </w:r>
      <w:r>
        <w:t xml:space="preserve">com </w:t>
      </w:r>
      <w:r w:rsidRPr="00A01793">
        <w:t>ovo</w:t>
      </w:r>
      <w:r>
        <w:t>s:</w:t>
      </w:r>
    </w:p>
    <w:p w:rsidR="005253E6" w:rsidRDefault="005253E6" w:rsidP="005253E6">
      <w:pPr>
        <w:ind w:firstLine="540"/>
        <w:jc w:val="both"/>
      </w:pPr>
    </w:p>
    <w:p w:rsidR="005253E6" w:rsidRPr="007D7C6F" w:rsidRDefault="005253E6" w:rsidP="005253E6">
      <w:pPr>
        <w:ind w:firstLine="540"/>
        <w:jc w:val="both"/>
      </w:pPr>
    </w:p>
    <w:p w:rsidR="005253E6" w:rsidRPr="007D7C6F" w:rsidRDefault="005253E6" w:rsidP="005253E6">
      <w:pPr>
        <w:pStyle w:val="Recuodecorpodetexto"/>
        <w:widowControl/>
        <w:ind w:firstLine="540"/>
        <w:rPr>
          <w:color w:val="auto"/>
          <w:sz w:val="24"/>
          <w:szCs w:val="24"/>
          <w:u w:val="dash"/>
        </w:rPr>
      </w:pPr>
      <w:r w:rsidRPr="007D7C6F">
        <w:rPr>
          <w:color w:val="auto"/>
          <w:sz w:val="24"/>
          <w:szCs w:val="24"/>
          <w:u w:val="dash"/>
        </w:rPr>
        <w:t>D E C R E T A</w:t>
      </w: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5253E6" w:rsidRPr="007D7C6F" w:rsidRDefault="005253E6" w:rsidP="005253E6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5253E6" w:rsidRPr="007D7C6F" w:rsidRDefault="005253E6" w:rsidP="005253E6">
      <w:pPr>
        <w:pStyle w:val="Recuodecorpodetexto"/>
        <w:widowControl/>
        <w:ind w:firstLine="540"/>
        <w:rPr>
          <w:color w:val="auto"/>
          <w:sz w:val="24"/>
          <w:szCs w:val="24"/>
        </w:rPr>
      </w:pPr>
      <w:r w:rsidRPr="007D7C6F">
        <w:rPr>
          <w:b/>
          <w:color w:val="auto"/>
          <w:sz w:val="24"/>
          <w:szCs w:val="24"/>
        </w:rPr>
        <w:t>Art. 1º</w:t>
      </w:r>
      <w:r w:rsidRPr="007D7C6F">
        <w:rPr>
          <w:color w:val="auto"/>
          <w:sz w:val="24"/>
          <w:szCs w:val="24"/>
        </w:rPr>
        <w:t xml:space="preserve"> Passam a vigorar com a seguinte redação os dispositivos adiante enumerados, do Regulamento do Imposto sobre Operações Relativas à Circulação de Mercadorias e sobre Prestações de Serviços de Transporte Interestadual e Intermunicipal e de Comunicação – RICMS/RO, aprovado pelo Decreto nº 8321, de 30 de abril de 1998:</w:t>
      </w:r>
    </w:p>
    <w:p w:rsidR="005253E6" w:rsidRPr="007D7C6F" w:rsidRDefault="005253E6" w:rsidP="005253E6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5253E6" w:rsidRPr="000A3DB2" w:rsidRDefault="005253E6" w:rsidP="005253E6">
      <w:pPr>
        <w:ind w:firstLine="540"/>
        <w:jc w:val="both"/>
        <w:rPr>
          <w:color w:val="FF0000"/>
        </w:rPr>
      </w:pPr>
      <w:r w:rsidRPr="007D7C6F">
        <w:rPr>
          <w:b/>
        </w:rPr>
        <w:t>I</w:t>
      </w:r>
      <w:r w:rsidRPr="007D7C6F">
        <w:t xml:space="preserve"> – o </w:t>
      </w:r>
      <w:r>
        <w:t>§ 4º do artigo 53</w:t>
      </w:r>
      <w:r w:rsidRPr="007D7C6F">
        <w:t>:</w:t>
      </w:r>
    </w:p>
    <w:p w:rsidR="005253E6" w:rsidRPr="00F4123F" w:rsidRDefault="005253E6" w:rsidP="005253E6">
      <w:pPr>
        <w:ind w:firstLine="540"/>
        <w:jc w:val="both"/>
      </w:pPr>
    </w:p>
    <w:p w:rsidR="005253E6" w:rsidRPr="00F4123F" w:rsidRDefault="005253E6" w:rsidP="005253E6">
      <w:pPr>
        <w:ind w:firstLine="540"/>
        <w:jc w:val="both"/>
      </w:pPr>
      <w:r w:rsidRPr="00F4123F">
        <w:t>“§ 4º O disposto na alínea “b” do inciso I do “caput” não se aplica ao contribuinte destinatário que não possuir débitos vencidos e não pagos referentes a tributos administrados pela Coordenadoria da Receita Estadual, desde que este não possua pendências na entrega de GIAM nem do arquivo eletrônico indicado no artigo 381-B por mais de 2 (dois) meses consecutivos, ou quando a soma dos lançamentos para o mesmo contribuinte, referentes à carga transportada, não exceder o valor correspondente a meia (1/2) UPF, hipótese</w:t>
      </w:r>
      <w:r>
        <w:t>s</w:t>
      </w:r>
      <w:r w:rsidRPr="00F4123F">
        <w:t xml:space="preserve"> em que os prazos de pagamento do imposto serão os seguintes:</w:t>
      </w:r>
    </w:p>
    <w:p w:rsidR="005253E6" w:rsidRPr="00F4123F" w:rsidRDefault="005253E6" w:rsidP="005253E6">
      <w:pPr>
        <w:ind w:firstLine="540"/>
        <w:jc w:val="both"/>
      </w:pPr>
    </w:p>
    <w:p w:rsidR="005253E6" w:rsidRPr="00F4123F" w:rsidRDefault="005253E6" w:rsidP="005253E6">
      <w:pPr>
        <w:ind w:firstLine="540"/>
        <w:jc w:val="both"/>
      </w:pPr>
      <w:r w:rsidRPr="00F4123F">
        <w:t>a) mercadorias entradas no Estado até o dia 15 do mês, no último dia do mês subseqüente;</w:t>
      </w:r>
    </w:p>
    <w:p w:rsidR="005253E6" w:rsidRPr="00F4123F" w:rsidRDefault="005253E6" w:rsidP="005253E6">
      <w:pPr>
        <w:ind w:firstLine="540"/>
        <w:jc w:val="both"/>
      </w:pP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  <w:szCs w:val="24"/>
        </w:rPr>
      </w:pPr>
      <w:r w:rsidRPr="005F5C9E">
        <w:rPr>
          <w:color w:val="auto"/>
          <w:sz w:val="24"/>
          <w:szCs w:val="24"/>
        </w:rPr>
        <w:t>b) mercadorias entradas no Estado após o dia 15 do mês, no décimo quinto dia do segundo mês subseqüente;”</w:t>
      </w: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5253E6" w:rsidRPr="00963DCF" w:rsidRDefault="005253E6" w:rsidP="005253E6">
      <w:pPr>
        <w:ind w:firstLine="540"/>
        <w:jc w:val="both"/>
        <w:rPr>
          <w:color w:val="FF0000"/>
        </w:rPr>
      </w:pPr>
      <w:r w:rsidRPr="00B2100A">
        <w:rPr>
          <w:b/>
        </w:rPr>
        <w:t>II</w:t>
      </w:r>
      <w:r>
        <w:t xml:space="preserve"> – o “caput” do item 9 da Tabela I do Anexo IV: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 w:rsidRPr="00A379F6">
        <w:t xml:space="preserve">“9 – De 57,143% (cinqüenta e sete inteiros e cento e quarenta e três milésimos por cento) do valor do imposto incidente nas saídas internas e interestaduais de carne e demais produtos comestíveis frescos, resfriados, congelados, salgados, secos ou temperados, resultantes do abate de aves, leporídeos e gado bovino, caprino, ovino e suíno, </w:t>
      </w:r>
      <w:r>
        <w:t xml:space="preserve">produzidos no Estado de Rondônia, </w:t>
      </w:r>
      <w:r w:rsidRPr="00A379F6">
        <w:t>de forma que a carga tributária seja equivalente a 3% (três por cento).</w:t>
      </w:r>
      <w:r>
        <w:t>”</w:t>
      </w:r>
    </w:p>
    <w:p w:rsidR="005253E6" w:rsidRDefault="005253E6" w:rsidP="005253E6">
      <w:pPr>
        <w:ind w:firstLine="540"/>
        <w:jc w:val="both"/>
      </w:pPr>
    </w:p>
    <w:p w:rsidR="005253E6" w:rsidRPr="000603EE" w:rsidRDefault="005253E6" w:rsidP="005253E6">
      <w:pPr>
        <w:ind w:firstLine="540"/>
        <w:jc w:val="both"/>
        <w:rPr>
          <w:color w:val="FF0000"/>
        </w:rPr>
      </w:pPr>
      <w:r>
        <w:rPr>
          <w:b/>
        </w:rPr>
        <w:t>I</w:t>
      </w:r>
      <w:r w:rsidRPr="00B2100A">
        <w:rPr>
          <w:b/>
        </w:rPr>
        <w:t>II</w:t>
      </w:r>
      <w:r>
        <w:t xml:space="preserve"> – o item 20 do Anexo V:</w:t>
      </w:r>
    </w:p>
    <w:p w:rsidR="005253E6" w:rsidRDefault="005253E6" w:rsidP="005253E6">
      <w:pPr>
        <w:ind w:firstLine="540"/>
        <w:jc w:val="both"/>
      </w:pPr>
    </w:p>
    <w:tbl>
      <w:tblPr>
        <w:tblW w:w="9709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3554"/>
        <w:gridCol w:w="1124"/>
        <w:gridCol w:w="991"/>
        <w:gridCol w:w="852"/>
        <w:gridCol w:w="850"/>
        <w:gridCol w:w="904"/>
        <w:gridCol w:w="797"/>
      </w:tblGrid>
      <w:tr w:rsidR="005253E6" w:rsidRPr="00C62FE9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C62FE9">
              <w:rPr>
                <w:rFonts w:ascii="Arial" w:hAnsi="Arial"/>
                <w:b/>
                <w:sz w:val="16"/>
                <w:szCs w:val="16"/>
              </w:rPr>
              <w:t>20</w:t>
            </w:r>
          </w:p>
        </w:tc>
        <w:tc>
          <w:tcPr>
            <w:tcW w:w="3554" w:type="dxa"/>
            <w:tcBorders>
              <w:bottom w:val="nil"/>
            </w:tcBorders>
          </w:tcPr>
          <w:p w:rsidR="005253E6" w:rsidRPr="000F707F" w:rsidRDefault="005253E6" w:rsidP="00D95BC8">
            <w:pPr>
              <w:ind w:left="213" w:hanging="21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0F707F">
              <w:rPr>
                <w:rFonts w:ascii="Arial" w:hAnsi="Arial" w:cs="Arial"/>
                <w:sz w:val="16"/>
                <w:szCs w:val="16"/>
              </w:rPr>
              <w:t xml:space="preserve">I - Em relação aos seguintes combustíveis, quando o sujeito passivo por substituição seja a DISTRIBUIDORA DE COMBUS-TÍVEIS: (Cláusula terceira do </w:t>
            </w:r>
            <w:proofErr w:type="spellStart"/>
            <w:r w:rsidRPr="000F707F">
              <w:rPr>
                <w:rFonts w:ascii="Arial" w:hAnsi="Arial" w:cs="Arial"/>
                <w:sz w:val="16"/>
                <w:szCs w:val="16"/>
              </w:rPr>
              <w:t>Conv</w:t>
            </w:r>
            <w:proofErr w:type="spellEnd"/>
            <w:r w:rsidRPr="000F707F">
              <w:rPr>
                <w:rFonts w:ascii="Arial" w:hAnsi="Arial" w:cs="Arial"/>
                <w:sz w:val="16"/>
                <w:szCs w:val="16"/>
              </w:rPr>
              <w:t xml:space="preserve">. ICMS 03/99 e seu Anexo I) </w:t>
            </w:r>
            <w:r>
              <w:rPr>
                <w:rFonts w:ascii="Arial" w:hAnsi="Arial" w:cs="Arial"/>
                <w:sz w:val="16"/>
                <w:szCs w:val="16"/>
              </w:rPr>
              <w:t>(V</w:t>
            </w:r>
            <w:r w:rsidRPr="000F707F">
              <w:rPr>
                <w:rFonts w:ascii="Arial" w:hAnsi="Arial" w:cs="Arial"/>
                <w:sz w:val="16"/>
                <w:szCs w:val="16"/>
              </w:rPr>
              <w:t xml:space="preserve">er Tabela </w:t>
            </w:r>
            <w:r>
              <w:rPr>
                <w:rFonts w:ascii="Arial" w:hAnsi="Arial" w:cs="Arial"/>
                <w:sz w:val="16"/>
                <w:szCs w:val="16"/>
              </w:rPr>
              <w:t>XXIII</w:t>
            </w:r>
            <w:r w:rsidRPr="000F707F">
              <w:rPr>
                <w:rFonts w:ascii="Arial" w:hAnsi="Arial" w:cs="Arial"/>
                <w:sz w:val="16"/>
                <w:szCs w:val="16"/>
              </w:rPr>
              <w:t xml:space="preserve"> do Anexo VI</w:t>
            </w:r>
            <w:r>
              <w:rPr>
                <w:rFonts w:ascii="Arial" w:hAnsi="Arial" w:cs="Arial"/>
                <w:sz w:val="16"/>
                <w:szCs w:val="16"/>
              </w:rPr>
              <w:t>)</w:t>
            </w:r>
          </w:p>
          <w:p w:rsidR="005253E6" w:rsidRPr="000F707F" w:rsidRDefault="005253E6" w:rsidP="00D95BC8">
            <w:pPr>
              <w:ind w:left="213" w:hanging="213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bottom w:val="nil"/>
            </w:tcBorders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 w:val="restart"/>
            <w:tcBorders>
              <w:bottom w:val="nil"/>
            </w:tcBorders>
          </w:tcPr>
          <w:p w:rsidR="005253E6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Art. 723, I</w:t>
            </w:r>
          </w:p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C2663">
              <w:rPr>
                <w:rFonts w:ascii="Arial" w:hAnsi="Arial" w:cs="Arial"/>
                <w:sz w:val="16"/>
                <w:szCs w:val="16"/>
              </w:rPr>
              <w:t>(RICMS)</w:t>
            </w:r>
          </w:p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4" w:type="dxa"/>
            <w:tcBorders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7" w:type="dxa"/>
            <w:tcBorders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253E6" w:rsidRPr="00C62FE9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>a) gasolina automotiva e álcool anidro</w:t>
            </w:r>
          </w:p>
        </w:tc>
        <w:tc>
          <w:tcPr>
            <w:tcW w:w="1124" w:type="dxa"/>
            <w:tcBorders>
              <w:top w:val="nil"/>
              <w:bottom w:val="nil"/>
            </w:tcBorders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tcBorders>
              <w:top w:val="nil"/>
              <w:bottom w:val="nil"/>
            </w:tcBorders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34,26%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34,26%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79,01%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79,01%</w:t>
            </w:r>
          </w:p>
        </w:tc>
      </w:tr>
      <w:tr w:rsidR="005253E6" w:rsidRPr="00C62FE9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>b) álcool hidratado:</w:t>
            </w:r>
          </w:p>
        </w:tc>
        <w:tc>
          <w:tcPr>
            <w:tcW w:w="112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tcBorders>
              <w:top w:val="nil"/>
              <w:bottom w:val="nil"/>
            </w:tcBorders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253E6" w:rsidRPr="00C62FE9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0F707F" w:rsidRDefault="005253E6" w:rsidP="00D95BC8">
            <w:pPr>
              <w:pStyle w:val="Recuodecorpodetexto"/>
              <w:ind w:left="616"/>
              <w:rPr>
                <w:rFonts w:ascii="Arial" w:hAnsi="Arial" w:cs="Arial"/>
                <w:sz w:val="16"/>
                <w:szCs w:val="16"/>
              </w:rPr>
            </w:pPr>
            <w:r w:rsidRPr="000F707F">
              <w:rPr>
                <w:rFonts w:ascii="Arial" w:hAnsi="Arial" w:cs="Arial"/>
                <w:sz w:val="16"/>
                <w:szCs w:val="16"/>
              </w:rPr>
              <w:t>b.1 - operações internas</w:t>
            </w:r>
          </w:p>
        </w:tc>
        <w:tc>
          <w:tcPr>
            <w:tcW w:w="112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tcBorders>
              <w:top w:val="nil"/>
              <w:bottom w:val="nil"/>
            </w:tcBorders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32,81%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32,81%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</w:tr>
      <w:tr w:rsidR="005253E6" w:rsidRPr="003B13BA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3B13BA" w:rsidRDefault="005253E6" w:rsidP="00D95BC8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0F707F" w:rsidRDefault="005253E6" w:rsidP="00D95BC8">
            <w:pPr>
              <w:pStyle w:val="Recuodecorpodetexto"/>
              <w:ind w:left="616"/>
              <w:rPr>
                <w:rFonts w:ascii="Arial" w:hAnsi="Arial" w:cs="Arial"/>
                <w:sz w:val="16"/>
                <w:szCs w:val="16"/>
              </w:rPr>
            </w:pPr>
            <w:r w:rsidRPr="000F707F">
              <w:rPr>
                <w:rFonts w:ascii="Arial" w:hAnsi="Arial" w:cs="Arial"/>
                <w:sz w:val="16"/>
                <w:szCs w:val="16"/>
              </w:rPr>
              <w:t>b.2 - operações interestaduais (alíquota de 7%)</w:t>
            </w:r>
          </w:p>
        </w:tc>
        <w:tc>
          <w:tcPr>
            <w:tcW w:w="112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1" w:type="dxa"/>
            <w:vMerge/>
            <w:tcBorders>
              <w:top w:val="nil"/>
              <w:bottom w:val="nil"/>
            </w:tcBorders>
          </w:tcPr>
          <w:p w:rsidR="005253E6" w:rsidRPr="003B13BA" w:rsidRDefault="005253E6" w:rsidP="00D95BC8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3B13BA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B13BA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3B13BA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B13BA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3B13BA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B13BA">
              <w:rPr>
                <w:rFonts w:ascii="Arial" w:hAnsi="Arial" w:cs="Arial"/>
                <w:sz w:val="16"/>
                <w:szCs w:val="16"/>
              </w:rPr>
              <w:t>64,68%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3B13BA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B13BA">
              <w:rPr>
                <w:rFonts w:ascii="Arial" w:hAnsi="Arial" w:cs="Arial"/>
                <w:sz w:val="16"/>
                <w:szCs w:val="16"/>
              </w:rPr>
              <w:t>64,68%</w:t>
            </w:r>
          </w:p>
        </w:tc>
      </w:tr>
      <w:tr w:rsidR="005253E6" w:rsidRPr="003B13BA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3B13BA" w:rsidRDefault="005253E6" w:rsidP="00D95BC8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0F707F" w:rsidRDefault="005253E6" w:rsidP="00D95BC8">
            <w:pPr>
              <w:pStyle w:val="Recuodecorpodetexto"/>
              <w:ind w:left="616"/>
              <w:rPr>
                <w:rFonts w:ascii="Arial" w:hAnsi="Arial" w:cs="Arial"/>
                <w:sz w:val="16"/>
                <w:szCs w:val="16"/>
              </w:rPr>
            </w:pPr>
            <w:r w:rsidRPr="000F707F">
              <w:rPr>
                <w:rFonts w:ascii="Arial" w:hAnsi="Arial" w:cs="Arial"/>
                <w:sz w:val="16"/>
                <w:szCs w:val="16"/>
              </w:rPr>
              <w:t>b.3 - operações interestaduais (alíquota de 12%)</w:t>
            </w:r>
          </w:p>
        </w:tc>
        <w:tc>
          <w:tcPr>
            <w:tcW w:w="112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1" w:type="dxa"/>
            <w:vMerge/>
            <w:tcBorders>
              <w:top w:val="nil"/>
              <w:bottom w:val="nil"/>
            </w:tcBorders>
          </w:tcPr>
          <w:p w:rsidR="005253E6" w:rsidRPr="003B13BA" w:rsidRDefault="005253E6" w:rsidP="00D95BC8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3B13BA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B13BA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3B13BA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B13BA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3B13BA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B13BA">
              <w:rPr>
                <w:rFonts w:ascii="Arial" w:hAnsi="Arial" w:cs="Arial"/>
                <w:sz w:val="16"/>
                <w:szCs w:val="16"/>
              </w:rPr>
              <w:t>55,83%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3B13BA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B13BA">
              <w:rPr>
                <w:rFonts w:ascii="Arial" w:hAnsi="Arial" w:cs="Arial"/>
                <w:sz w:val="16"/>
                <w:szCs w:val="16"/>
              </w:rPr>
              <w:t>55,83%</w:t>
            </w:r>
          </w:p>
        </w:tc>
      </w:tr>
      <w:tr w:rsidR="005253E6" w:rsidRPr="003B13BA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3B13BA" w:rsidRDefault="005253E6" w:rsidP="00D95BC8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>c) óleo combustível</w:t>
            </w:r>
          </w:p>
        </w:tc>
        <w:tc>
          <w:tcPr>
            <w:tcW w:w="1124" w:type="dxa"/>
            <w:tcBorders>
              <w:top w:val="nil"/>
              <w:bottom w:val="nil"/>
            </w:tcBorders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1" w:type="dxa"/>
            <w:vMerge/>
            <w:tcBorders>
              <w:top w:val="nil"/>
              <w:bottom w:val="nil"/>
            </w:tcBorders>
          </w:tcPr>
          <w:p w:rsidR="005253E6" w:rsidRPr="003B13BA" w:rsidRDefault="005253E6" w:rsidP="00D95BC8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3B13BA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B13BA">
              <w:rPr>
                <w:rFonts w:ascii="Arial" w:hAnsi="Arial" w:cs="Arial"/>
                <w:sz w:val="16"/>
                <w:szCs w:val="16"/>
              </w:rPr>
              <w:t>9,97%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3B13BA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B13BA">
              <w:rPr>
                <w:rFonts w:ascii="Arial" w:hAnsi="Arial" w:cs="Arial"/>
                <w:sz w:val="16"/>
                <w:szCs w:val="16"/>
              </w:rPr>
              <w:t>9,97%</w:t>
            </w:r>
          </w:p>
        </w:tc>
        <w:tc>
          <w:tcPr>
            <w:tcW w:w="904" w:type="dxa"/>
            <w:tcBorders>
              <w:top w:val="nil"/>
              <w:bottom w:val="nil"/>
            </w:tcBorders>
          </w:tcPr>
          <w:p w:rsidR="005253E6" w:rsidRPr="003B13BA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B13BA">
              <w:rPr>
                <w:rFonts w:ascii="Arial" w:hAnsi="Arial" w:cs="Arial"/>
                <w:sz w:val="16"/>
                <w:szCs w:val="16"/>
              </w:rPr>
              <w:t>36,86%</w:t>
            </w:r>
          </w:p>
        </w:tc>
        <w:tc>
          <w:tcPr>
            <w:tcW w:w="797" w:type="dxa"/>
            <w:tcBorders>
              <w:top w:val="nil"/>
              <w:bottom w:val="nil"/>
            </w:tcBorders>
          </w:tcPr>
          <w:p w:rsidR="005253E6" w:rsidRPr="003B13BA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B13BA">
              <w:rPr>
                <w:rFonts w:ascii="Arial" w:hAnsi="Arial" w:cs="Arial"/>
                <w:sz w:val="16"/>
                <w:szCs w:val="16"/>
              </w:rPr>
              <w:t>36,86%</w:t>
            </w: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0F707F" w:rsidRDefault="005253E6" w:rsidP="00D95BC8">
            <w:pPr>
              <w:ind w:left="213" w:hanging="213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5253E6" w:rsidRDefault="005253E6" w:rsidP="00D95BC8">
            <w:pPr>
              <w:ind w:left="213" w:hanging="21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0F707F">
              <w:rPr>
                <w:rFonts w:ascii="Arial" w:hAnsi="Arial" w:cs="Arial"/>
                <w:sz w:val="16"/>
                <w:szCs w:val="16"/>
              </w:rPr>
              <w:t xml:space="preserve">II - Em relação aos seguintes combustíveis, quando o sujeito passivo por substituição seja a REFINARIA DE PETRÓLEO ou suas bases: (Cláusula terceira do </w:t>
            </w:r>
            <w:proofErr w:type="spellStart"/>
            <w:r w:rsidRPr="000F707F">
              <w:rPr>
                <w:rFonts w:ascii="Arial" w:hAnsi="Arial" w:cs="Arial"/>
                <w:sz w:val="16"/>
                <w:szCs w:val="16"/>
              </w:rPr>
              <w:t>Conv</w:t>
            </w:r>
            <w:proofErr w:type="spellEnd"/>
            <w:r w:rsidRPr="000F707F">
              <w:rPr>
                <w:rFonts w:ascii="Arial" w:hAnsi="Arial" w:cs="Arial"/>
                <w:sz w:val="16"/>
                <w:szCs w:val="16"/>
              </w:rPr>
              <w:t>. IC</w:t>
            </w:r>
            <w:r>
              <w:rPr>
                <w:rFonts w:ascii="Arial" w:hAnsi="Arial" w:cs="Arial"/>
                <w:sz w:val="16"/>
                <w:szCs w:val="16"/>
              </w:rPr>
              <w:t>MS 03/99 e seu Anexo II)</w:t>
            </w:r>
          </w:p>
          <w:p w:rsidR="005253E6" w:rsidRPr="000F707F" w:rsidRDefault="005253E6" w:rsidP="00D95BC8">
            <w:pPr>
              <w:ind w:left="213" w:hanging="213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nil"/>
              <w:bottom w:val="nil"/>
            </w:tcBorders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 w:val="restart"/>
            <w:tcBorders>
              <w:top w:val="nil"/>
            </w:tcBorders>
          </w:tcPr>
          <w:p w:rsidR="005253E6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253E6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Art. 723, II</w:t>
            </w:r>
          </w:p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C2663">
              <w:rPr>
                <w:rFonts w:ascii="Arial" w:hAnsi="Arial" w:cs="Arial"/>
                <w:sz w:val="16"/>
                <w:szCs w:val="16"/>
              </w:rPr>
              <w:t>(RICMS)</w:t>
            </w:r>
          </w:p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 xml:space="preserve">a) gasolina automotiva </w:t>
            </w:r>
          </w:p>
        </w:tc>
        <w:tc>
          <w:tcPr>
            <w:tcW w:w="1124" w:type="dxa"/>
            <w:tcBorders>
              <w:top w:val="nil"/>
              <w:bottom w:val="nil"/>
            </w:tcBorders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87,17%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87,17%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149,55%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149,55%</w:t>
            </w: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3B13BA" w:rsidRDefault="005253E6" w:rsidP="00D95BC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>b) óleo diesel</w:t>
            </w:r>
          </w:p>
        </w:tc>
        <w:tc>
          <w:tcPr>
            <w:tcW w:w="112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</w:tcPr>
          <w:p w:rsidR="005253E6" w:rsidRPr="003B13BA" w:rsidRDefault="005253E6" w:rsidP="00D95BC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3B13BA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B13BA">
              <w:rPr>
                <w:rFonts w:ascii="Arial" w:hAnsi="Arial" w:cs="Arial"/>
                <w:sz w:val="16"/>
                <w:szCs w:val="16"/>
              </w:rPr>
              <w:t>17,77%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3B13BA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B13BA">
              <w:rPr>
                <w:rFonts w:ascii="Arial" w:hAnsi="Arial" w:cs="Arial"/>
                <w:sz w:val="16"/>
                <w:szCs w:val="16"/>
              </w:rPr>
              <w:t>17,77%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3B13BA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B13BA">
              <w:rPr>
                <w:rFonts w:ascii="Arial" w:hAnsi="Arial" w:cs="Arial"/>
                <w:sz w:val="16"/>
                <w:szCs w:val="16"/>
              </w:rPr>
              <w:t>57,03%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57,03%</w:t>
            </w: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>c) GLP</w:t>
            </w:r>
          </w:p>
        </w:tc>
        <w:tc>
          <w:tcPr>
            <w:tcW w:w="112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</w:tcPr>
          <w:p w:rsidR="005253E6" w:rsidRPr="003B13BA" w:rsidRDefault="005253E6" w:rsidP="00D95BC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3B13BA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B13BA">
              <w:rPr>
                <w:rFonts w:ascii="Arial" w:hAnsi="Arial" w:cs="Arial"/>
                <w:sz w:val="16"/>
                <w:szCs w:val="16"/>
              </w:rPr>
              <w:t>108,54%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3B13BA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B13BA">
              <w:rPr>
                <w:rFonts w:ascii="Arial" w:hAnsi="Arial" w:cs="Arial"/>
                <w:sz w:val="16"/>
                <w:szCs w:val="16"/>
              </w:rPr>
              <w:t>108,54%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3B13BA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136,98%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3B13BA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136,98%</w:t>
            </w: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>d) óleo combustível</w:t>
            </w:r>
          </w:p>
        </w:tc>
        <w:tc>
          <w:tcPr>
            <w:tcW w:w="112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>e) gás natural veicular</w:t>
            </w:r>
          </w:p>
        </w:tc>
        <w:tc>
          <w:tcPr>
            <w:tcW w:w="112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tcBorders>
              <w:bottom w:val="nil"/>
            </w:tcBorders>
            <w:shd w:val="clear" w:color="auto" w:fill="auto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0F707F" w:rsidRDefault="005253E6" w:rsidP="00D95BC8">
            <w:pPr>
              <w:ind w:left="213" w:hanging="213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5253E6" w:rsidRDefault="005253E6" w:rsidP="00D95BC8">
            <w:pPr>
              <w:ind w:left="213" w:hanging="21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0F707F">
              <w:rPr>
                <w:rFonts w:ascii="Arial" w:hAnsi="Arial" w:cs="Arial"/>
                <w:sz w:val="16"/>
                <w:szCs w:val="16"/>
              </w:rPr>
              <w:t xml:space="preserve">III - Em relação aos seguintes combustíveis, quando o sujeito passivo por substituição seja IMPORTADOR DE COMBUSTÍVEL: (Cláusula terceira do </w:t>
            </w:r>
            <w:proofErr w:type="spellStart"/>
            <w:r w:rsidRPr="000F707F">
              <w:rPr>
                <w:rFonts w:ascii="Arial" w:hAnsi="Arial" w:cs="Arial"/>
                <w:sz w:val="16"/>
                <w:szCs w:val="16"/>
              </w:rPr>
              <w:t>Co</w:t>
            </w:r>
            <w:r>
              <w:rPr>
                <w:rFonts w:ascii="Arial" w:hAnsi="Arial" w:cs="Arial"/>
                <w:sz w:val="16"/>
                <w:szCs w:val="16"/>
              </w:rPr>
              <w:t>nv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ICMS 03/99 e seu Anexo III)</w:t>
            </w:r>
          </w:p>
          <w:p w:rsidR="005253E6" w:rsidRPr="000F707F" w:rsidRDefault="005253E6" w:rsidP="00D95BC8">
            <w:pPr>
              <w:ind w:left="213" w:hanging="213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nil"/>
              <w:bottom w:val="nil"/>
            </w:tcBorders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 w:val="restart"/>
            <w:tcBorders>
              <w:top w:val="nil"/>
            </w:tcBorders>
          </w:tcPr>
          <w:p w:rsidR="005253E6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253E6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Art. 722</w:t>
            </w:r>
          </w:p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C2663">
              <w:rPr>
                <w:rFonts w:ascii="Arial" w:hAnsi="Arial" w:cs="Arial"/>
                <w:sz w:val="16"/>
                <w:szCs w:val="16"/>
              </w:rPr>
              <w:t>(RICMS)</w:t>
            </w:r>
          </w:p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 xml:space="preserve">a) gasolina automotiva </w:t>
            </w:r>
          </w:p>
        </w:tc>
        <w:tc>
          <w:tcPr>
            <w:tcW w:w="1124" w:type="dxa"/>
            <w:tcBorders>
              <w:top w:val="nil"/>
              <w:bottom w:val="nil"/>
            </w:tcBorders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86,26%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86,26%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148,35%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148,35%</w:t>
            </w: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>b) óleo diesel</w:t>
            </w:r>
          </w:p>
        </w:tc>
        <w:tc>
          <w:tcPr>
            <w:tcW w:w="112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34,75%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34,75%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62,35%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62,35%</w:t>
            </w: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trHeight w:val="92"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>c) GLP</w:t>
            </w:r>
          </w:p>
        </w:tc>
        <w:tc>
          <w:tcPr>
            <w:tcW w:w="112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</w:tcPr>
          <w:p w:rsidR="005253E6" w:rsidRPr="002C2663" w:rsidRDefault="005253E6" w:rsidP="00D95BC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3B13BA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B13BA">
              <w:rPr>
                <w:rFonts w:ascii="Arial" w:hAnsi="Arial" w:cs="Arial"/>
                <w:sz w:val="16"/>
                <w:szCs w:val="16"/>
              </w:rPr>
              <w:t>108,54%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3B13BA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B13BA">
              <w:rPr>
                <w:rFonts w:ascii="Arial" w:hAnsi="Arial" w:cs="Arial"/>
                <w:sz w:val="16"/>
                <w:szCs w:val="16"/>
              </w:rPr>
              <w:t>108,54%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3B13BA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136,98%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3B13BA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136,98%</w:t>
            </w: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>d) QAV</w:t>
            </w:r>
          </w:p>
        </w:tc>
        <w:tc>
          <w:tcPr>
            <w:tcW w:w="112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tcBorders>
              <w:bottom w:val="nil"/>
            </w:tcBorders>
            <w:shd w:val="clear" w:color="auto" w:fill="auto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45,89%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45,89%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94,53%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94,53%</w:t>
            </w: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0F707F" w:rsidRDefault="005253E6" w:rsidP="00D95BC8">
            <w:pPr>
              <w:ind w:left="213" w:hanging="213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5253E6" w:rsidRDefault="005253E6" w:rsidP="00D95BC8">
            <w:pPr>
              <w:ind w:left="213" w:hanging="21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0F707F">
              <w:rPr>
                <w:rFonts w:ascii="Arial" w:hAnsi="Arial" w:cs="Arial"/>
                <w:sz w:val="16"/>
                <w:szCs w:val="16"/>
              </w:rPr>
              <w:t xml:space="preserve">IV – em relação aos demais produtos contemplados com a não incidência e não abrangidos nos incisos </w:t>
            </w:r>
            <w:r>
              <w:rPr>
                <w:rFonts w:ascii="Arial" w:hAnsi="Arial" w:cs="Arial"/>
                <w:sz w:val="16"/>
                <w:szCs w:val="16"/>
              </w:rPr>
              <w:t>I,</w:t>
            </w:r>
            <w:r w:rsidRPr="000F707F">
              <w:rPr>
                <w:rFonts w:ascii="Arial" w:hAnsi="Arial" w:cs="Arial"/>
                <w:sz w:val="16"/>
                <w:szCs w:val="16"/>
              </w:rPr>
              <w:t xml:space="preserve"> II</w:t>
            </w:r>
            <w:r>
              <w:rPr>
                <w:rFonts w:ascii="Arial" w:hAnsi="Arial" w:cs="Arial"/>
                <w:sz w:val="16"/>
                <w:szCs w:val="16"/>
              </w:rPr>
              <w:t xml:space="preserve"> e III</w:t>
            </w:r>
            <w:r w:rsidRPr="000F707F">
              <w:rPr>
                <w:rFonts w:ascii="Arial" w:hAnsi="Arial" w:cs="Arial"/>
                <w:sz w:val="16"/>
                <w:szCs w:val="16"/>
              </w:rPr>
              <w:t xml:space="preserve"> deste item 20</w:t>
            </w:r>
            <w:r>
              <w:rPr>
                <w:rFonts w:ascii="Arial" w:hAnsi="Arial" w:cs="Arial"/>
                <w:sz w:val="16"/>
                <w:szCs w:val="16"/>
              </w:rPr>
              <w:t xml:space="preserve">: </w:t>
            </w:r>
            <w:r w:rsidRPr="000F707F">
              <w:rPr>
                <w:rFonts w:ascii="Arial" w:hAnsi="Arial" w:cs="Arial"/>
                <w:sz w:val="16"/>
                <w:szCs w:val="16"/>
              </w:rPr>
              <w:t xml:space="preserve">(Cláusula terceira do </w:t>
            </w:r>
            <w:proofErr w:type="spellStart"/>
            <w:r w:rsidRPr="000F707F">
              <w:rPr>
                <w:rFonts w:ascii="Arial" w:hAnsi="Arial" w:cs="Arial"/>
                <w:sz w:val="16"/>
                <w:szCs w:val="16"/>
              </w:rPr>
              <w:t>Conv</w:t>
            </w:r>
            <w:proofErr w:type="spellEnd"/>
            <w:r w:rsidRPr="000F707F">
              <w:rPr>
                <w:rFonts w:ascii="Arial" w:hAnsi="Arial" w:cs="Arial"/>
                <w:sz w:val="16"/>
                <w:szCs w:val="16"/>
              </w:rPr>
              <w:t>. ICMS 03/99)</w:t>
            </w:r>
          </w:p>
          <w:p w:rsidR="005253E6" w:rsidRPr="000F707F" w:rsidRDefault="005253E6" w:rsidP="00D95BC8">
            <w:pPr>
              <w:ind w:left="213" w:hanging="213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 w:val="restart"/>
            <w:tcBorders>
              <w:top w:val="nil"/>
            </w:tcBorders>
            <w:shd w:val="clear" w:color="auto" w:fill="auto"/>
          </w:tcPr>
          <w:p w:rsidR="005253E6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253E6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Art. 723, III</w:t>
            </w:r>
          </w:p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C2663">
              <w:rPr>
                <w:rFonts w:ascii="Arial" w:hAnsi="Arial" w:cs="Arial"/>
                <w:sz w:val="16"/>
                <w:szCs w:val="16"/>
              </w:rPr>
              <w:t>(RICMS)</w:t>
            </w:r>
          </w:p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>a) operações internas</w:t>
            </w:r>
          </w:p>
        </w:tc>
        <w:tc>
          <w:tcPr>
            <w:tcW w:w="112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30%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30%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>b) operações interestaduais com alíquota interna na UF de destino de 12%</w:t>
            </w:r>
          </w:p>
        </w:tc>
        <w:tc>
          <w:tcPr>
            <w:tcW w:w="112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47,73%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47,73%</w:t>
            </w: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ind w:left="213"/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>c) operações interestaduais com alíquota interna na UF de destino de 17%</w:t>
            </w:r>
          </w:p>
        </w:tc>
        <w:tc>
          <w:tcPr>
            <w:tcW w:w="112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56,63%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56,63%</w:t>
            </w: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>d) operações interestaduais com alíquota interna na UF de destino de 18%</w:t>
            </w:r>
          </w:p>
        </w:tc>
        <w:tc>
          <w:tcPr>
            <w:tcW w:w="112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58,54%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58,54%</w:t>
            </w: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>e) operações interestaduais com alíquota interna na UF de destino de 20%</w:t>
            </w:r>
          </w:p>
        </w:tc>
        <w:tc>
          <w:tcPr>
            <w:tcW w:w="112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62,50%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62,50%</w:t>
            </w: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>f) operações interestaduais com alíquota interna na UF de destino de 25%</w:t>
            </w:r>
          </w:p>
        </w:tc>
        <w:tc>
          <w:tcPr>
            <w:tcW w:w="112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73,33%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73,33%</w:t>
            </w: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>g) operações interestaduais com alíquota interna na UF de destino de 30%</w:t>
            </w:r>
          </w:p>
        </w:tc>
        <w:tc>
          <w:tcPr>
            <w:tcW w:w="112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85,71%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85,71%</w:t>
            </w: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>h) operações interestaduais com alíquota interna na UF de destino de 26%</w:t>
            </w:r>
          </w:p>
        </w:tc>
        <w:tc>
          <w:tcPr>
            <w:tcW w:w="112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75,68%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75,68%</w:t>
            </w: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>i) operações interestaduais com alíquota interna na UF de destino de 27%</w:t>
            </w:r>
          </w:p>
        </w:tc>
        <w:tc>
          <w:tcPr>
            <w:tcW w:w="112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78,08%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78,08%</w:t>
            </w: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>j) operações interestaduais com alíquota interna na UF de destino de 14%</w:t>
            </w:r>
          </w:p>
        </w:tc>
        <w:tc>
          <w:tcPr>
            <w:tcW w:w="112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51,16%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51,16%</w:t>
            </w: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nil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>l) operações interestaduais com alíquota interna na UF de destino de 15%</w:t>
            </w:r>
          </w:p>
        </w:tc>
        <w:tc>
          <w:tcPr>
            <w:tcW w:w="112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auto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04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52,94%</w:t>
            </w:r>
          </w:p>
        </w:tc>
        <w:tc>
          <w:tcPr>
            <w:tcW w:w="797" w:type="dxa"/>
            <w:tcBorders>
              <w:top w:val="nil"/>
              <w:bottom w:val="nil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52,94%</w:t>
            </w:r>
          </w:p>
        </w:tc>
      </w:tr>
      <w:tr w:rsidR="005253E6" w:rsidRPr="002C2663" w:rsidTr="00D95BC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637" w:type="dxa"/>
            <w:tcBorders>
              <w:top w:val="nil"/>
              <w:bottom w:val="single" w:sz="6" w:space="0" w:color="auto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54" w:type="dxa"/>
            <w:tcBorders>
              <w:top w:val="nil"/>
              <w:bottom w:val="single" w:sz="6" w:space="0" w:color="auto"/>
            </w:tcBorders>
          </w:tcPr>
          <w:p w:rsidR="005253E6" w:rsidRPr="0015576A" w:rsidRDefault="005253E6" w:rsidP="00D95BC8">
            <w:pPr>
              <w:pStyle w:val="BodyText21"/>
              <w:ind w:left="482" w:right="135" w:hanging="223"/>
              <w:rPr>
                <w:rFonts w:ascii="Arial" w:hAnsi="Arial"/>
                <w:sz w:val="16"/>
                <w:szCs w:val="16"/>
              </w:rPr>
            </w:pPr>
            <w:r w:rsidRPr="0015576A">
              <w:rPr>
                <w:rFonts w:ascii="Arial" w:hAnsi="Arial"/>
                <w:sz w:val="16"/>
                <w:szCs w:val="16"/>
              </w:rPr>
              <w:t>m) operações interestaduais com alíquota interna na UF de destino de 19%</w:t>
            </w:r>
          </w:p>
        </w:tc>
        <w:tc>
          <w:tcPr>
            <w:tcW w:w="1124" w:type="dxa"/>
            <w:tcBorders>
              <w:top w:val="nil"/>
              <w:bottom w:val="single" w:sz="6" w:space="0" w:color="auto"/>
            </w:tcBorders>
            <w:shd w:val="clear" w:color="auto" w:fill="auto"/>
            <w:vAlign w:val="center"/>
          </w:tcPr>
          <w:p w:rsidR="005253E6" w:rsidRPr="000F707F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vMerge/>
            <w:tcBorders>
              <w:bottom w:val="single" w:sz="6" w:space="0" w:color="auto"/>
            </w:tcBorders>
            <w:shd w:val="clear" w:color="auto" w:fill="auto"/>
          </w:tcPr>
          <w:p w:rsidR="005253E6" w:rsidRPr="002C2663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bottom w:val="single" w:sz="6" w:space="0" w:color="auto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850" w:type="dxa"/>
            <w:tcBorders>
              <w:top w:val="nil"/>
              <w:bottom w:val="single" w:sz="6" w:space="0" w:color="auto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04" w:type="dxa"/>
            <w:tcBorders>
              <w:top w:val="nil"/>
              <w:bottom w:val="single" w:sz="6" w:space="0" w:color="auto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60,50%</w:t>
            </w:r>
          </w:p>
        </w:tc>
        <w:tc>
          <w:tcPr>
            <w:tcW w:w="797" w:type="dxa"/>
            <w:tcBorders>
              <w:top w:val="nil"/>
              <w:bottom w:val="single" w:sz="6" w:space="0" w:color="auto"/>
            </w:tcBorders>
            <w:vAlign w:val="center"/>
          </w:tcPr>
          <w:p w:rsidR="005253E6" w:rsidRPr="009F46A1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46A1">
              <w:rPr>
                <w:rFonts w:ascii="Arial" w:hAnsi="Arial" w:cs="Arial"/>
                <w:sz w:val="16"/>
                <w:szCs w:val="16"/>
              </w:rPr>
              <w:t>60,50%</w:t>
            </w:r>
          </w:p>
        </w:tc>
      </w:tr>
    </w:tbl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>
        <w:rPr>
          <w:b/>
        </w:rPr>
        <w:t>IV</w:t>
      </w:r>
      <w:r>
        <w:t xml:space="preserve"> – o item 21 do Anexo V:</w:t>
      </w:r>
    </w:p>
    <w:p w:rsidR="005253E6" w:rsidRDefault="005253E6" w:rsidP="005253E6">
      <w:pPr>
        <w:ind w:firstLine="540"/>
        <w:jc w:val="both"/>
      </w:pPr>
    </w:p>
    <w:tbl>
      <w:tblPr>
        <w:tblW w:w="97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3544"/>
        <w:gridCol w:w="1134"/>
        <w:gridCol w:w="992"/>
        <w:gridCol w:w="851"/>
        <w:gridCol w:w="850"/>
        <w:gridCol w:w="851"/>
        <w:gridCol w:w="850"/>
      </w:tblGrid>
      <w:tr w:rsidR="005253E6" w:rsidRPr="00C62FE9" w:rsidTr="00D95B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7" w:type="dxa"/>
            <w:tcBorders>
              <w:bottom w:val="nil"/>
            </w:tcBorders>
          </w:tcPr>
          <w:p w:rsidR="005253E6" w:rsidRPr="00A55C46" w:rsidRDefault="005253E6" w:rsidP="00D95B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55C46">
              <w:rPr>
                <w:rFonts w:ascii="Arial" w:hAnsi="Arial" w:cs="Arial"/>
                <w:b/>
                <w:sz w:val="16"/>
                <w:szCs w:val="16"/>
              </w:rPr>
              <w:t>21</w:t>
            </w:r>
          </w:p>
        </w:tc>
        <w:tc>
          <w:tcPr>
            <w:tcW w:w="3544" w:type="dxa"/>
            <w:tcBorders>
              <w:bottom w:val="nil"/>
            </w:tcBorders>
          </w:tcPr>
          <w:p w:rsidR="005253E6" w:rsidRPr="00C62FE9" w:rsidRDefault="005253E6" w:rsidP="00D95BC8">
            <w:pPr>
              <w:jc w:val="both"/>
              <w:rPr>
                <w:rFonts w:ascii="Arial" w:hAnsi="Arial"/>
                <w:sz w:val="16"/>
                <w:szCs w:val="16"/>
                <w:u w:val="single"/>
              </w:rPr>
            </w:pPr>
            <w:r w:rsidRPr="00C62FE9">
              <w:rPr>
                <w:rFonts w:ascii="Arial" w:hAnsi="Arial"/>
                <w:sz w:val="16"/>
                <w:szCs w:val="16"/>
              </w:rPr>
              <w:t>Em relação aos</w:t>
            </w:r>
            <w:r>
              <w:rPr>
                <w:rFonts w:ascii="Arial" w:hAnsi="Arial"/>
                <w:sz w:val="16"/>
                <w:szCs w:val="16"/>
              </w:rPr>
              <w:t xml:space="preserve"> seguintes</w:t>
            </w:r>
            <w:r w:rsidRPr="00C62FE9">
              <w:rPr>
                <w:rFonts w:ascii="Arial" w:hAnsi="Arial"/>
                <w:sz w:val="16"/>
                <w:szCs w:val="16"/>
              </w:rPr>
              <w:t xml:space="preserve"> produtos</w:t>
            </w:r>
            <w:r>
              <w:rPr>
                <w:rFonts w:ascii="Arial" w:hAnsi="Arial"/>
                <w:sz w:val="16"/>
                <w:szCs w:val="16"/>
              </w:rPr>
              <w:t>: (§ 1º da Cl. Primei</w:t>
            </w:r>
            <w:r w:rsidRPr="00C62FE9">
              <w:rPr>
                <w:rFonts w:ascii="Arial" w:hAnsi="Arial"/>
                <w:sz w:val="16"/>
                <w:szCs w:val="16"/>
              </w:rPr>
              <w:t>ra</w:t>
            </w:r>
            <w:r>
              <w:rPr>
                <w:rFonts w:ascii="Arial" w:hAnsi="Arial"/>
                <w:sz w:val="16"/>
                <w:szCs w:val="16"/>
              </w:rPr>
              <w:t xml:space="preserve">, e Cl. Terceira </w:t>
            </w:r>
            <w:r w:rsidRPr="00C62FE9">
              <w:rPr>
                <w:rFonts w:ascii="Arial" w:hAnsi="Arial"/>
                <w:sz w:val="16"/>
                <w:szCs w:val="16"/>
              </w:rPr>
              <w:t xml:space="preserve">do </w:t>
            </w:r>
            <w:proofErr w:type="spellStart"/>
            <w:r w:rsidRPr="00C62FE9">
              <w:rPr>
                <w:rFonts w:ascii="Arial" w:hAnsi="Arial"/>
                <w:sz w:val="16"/>
                <w:szCs w:val="16"/>
              </w:rPr>
              <w:t>Conv</w:t>
            </w:r>
            <w:proofErr w:type="spellEnd"/>
            <w:r w:rsidRPr="00C62FE9">
              <w:rPr>
                <w:rFonts w:ascii="Arial" w:hAnsi="Arial"/>
                <w:sz w:val="16"/>
                <w:szCs w:val="16"/>
              </w:rPr>
              <w:t>. ICMS 03/99)</w:t>
            </w:r>
          </w:p>
          <w:p w:rsidR="005253E6" w:rsidRPr="00C62FE9" w:rsidRDefault="005253E6" w:rsidP="00D95BC8">
            <w:pPr>
              <w:pStyle w:val="BlockText"/>
              <w:rPr>
                <w:rFonts w:cs="Arial"/>
                <w:szCs w:val="16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253E6" w:rsidRPr="00C62FE9" w:rsidTr="00D95B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7" w:type="dxa"/>
            <w:tcBorders>
              <w:top w:val="nil"/>
              <w:bottom w:val="nil"/>
            </w:tcBorders>
          </w:tcPr>
          <w:p w:rsidR="005253E6" w:rsidRDefault="005253E6" w:rsidP="00D95BC8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pStyle w:val="BodyText21"/>
              <w:ind w:left="223" w:right="135" w:hanging="223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I -</w:t>
            </w:r>
            <w:r w:rsidRPr="00C62FE9">
              <w:rPr>
                <w:rFonts w:ascii="Arial" w:hAnsi="Arial"/>
                <w:sz w:val="16"/>
                <w:szCs w:val="16"/>
              </w:rPr>
              <w:t xml:space="preserve"> aditivos, </w:t>
            </w:r>
            <w:proofErr w:type="spellStart"/>
            <w:r w:rsidRPr="00C62FE9">
              <w:rPr>
                <w:rFonts w:ascii="Arial" w:hAnsi="Arial"/>
                <w:sz w:val="16"/>
                <w:szCs w:val="16"/>
              </w:rPr>
              <w:t>anticorrosivos</w:t>
            </w:r>
            <w:proofErr w:type="spellEnd"/>
            <w:r w:rsidRPr="00C62FE9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C62FE9">
              <w:rPr>
                <w:rFonts w:ascii="Arial" w:hAnsi="Arial"/>
                <w:sz w:val="16"/>
                <w:szCs w:val="16"/>
              </w:rPr>
              <w:t>desengraxantes</w:t>
            </w:r>
            <w:proofErr w:type="spellEnd"/>
            <w:r w:rsidRPr="00C62FE9">
              <w:rPr>
                <w:rFonts w:ascii="Arial" w:hAnsi="Arial"/>
                <w:sz w:val="16"/>
                <w:szCs w:val="16"/>
              </w:rPr>
              <w:t xml:space="preserve">, fluidos, graxas e óleos de têmpera, </w:t>
            </w:r>
            <w:proofErr w:type="spellStart"/>
            <w:r w:rsidRPr="00C62FE9">
              <w:rPr>
                <w:rFonts w:ascii="Arial" w:hAnsi="Arial"/>
                <w:sz w:val="16"/>
                <w:szCs w:val="16"/>
              </w:rPr>
              <w:t>protetivos</w:t>
            </w:r>
            <w:proofErr w:type="spellEnd"/>
            <w:r w:rsidRPr="00C62FE9">
              <w:rPr>
                <w:rFonts w:ascii="Arial" w:hAnsi="Arial"/>
                <w:sz w:val="16"/>
                <w:szCs w:val="16"/>
              </w:rPr>
              <w:t xml:space="preserve"> e para transformadores, ainda que não derivados de petróleo, todos para uso em aparelhos, equipamentos, máquinas, motores e veículos;</w:t>
            </w:r>
          </w:p>
          <w:p w:rsidR="005253E6" w:rsidRPr="00C62FE9" w:rsidRDefault="005253E6" w:rsidP="00D95BC8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Pr="00C62FE9">
              <w:rPr>
                <w:rFonts w:ascii="Arial" w:hAnsi="Arial" w:cs="Arial"/>
                <w:sz w:val="16"/>
                <w:szCs w:val="16"/>
              </w:rPr>
              <w:t>0%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Pr="00C62FE9">
              <w:rPr>
                <w:rFonts w:ascii="Arial" w:hAnsi="Arial" w:cs="Arial"/>
                <w:sz w:val="16"/>
                <w:szCs w:val="16"/>
              </w:rPr>
              <w:t>0%</w:t>
            </w: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Pr="00C62FE9">
              <w:rPr>
                <w:rFonts w:ascii="Arial" w:hAnsi="Arial" w:cs="Arial"/>
                <w:sz w:val="16"/>
                <w:szCs w:val="16"/>
              </w:rPr>
              <w:t>0%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Pr="00C62FE9">
              <w:rPr>
                <w:rFonts w:ascii="Arial" w:hAnsi="Arial" w:cs="Arial"/>
                <w:sz w:val="16"/>
                <w:szCs w:val="16"/>
              </w:rPr>
              <w:t>0%</w:t>
            </w:r>
          </w:p>
        </w:tc>
      </w:tr>
      <w:tr w:rsidR="005253E6" w:rsidRPr="00C62FE9" w:rsidTr="00D95B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7" w:type="dxa"/>
            <w:tcBorders>
              <w:top w:val="nil"/>
            </w:tcBorders>
          </w:tcPr>
          <w:p w:rsidR="005253E6" w:rsidRDefault="005253E6" w:rsidP="00D95BC8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nil"/>
            </w:tcBorders>
          </w:tcPr>
          <w:p w:rsidR="005253E6" w:rsidRPr="00C62FE9" w:rsidRDefault="005253E6" w:rsidP="00D95BC8">
            <w:pPr>
              <w:pStyle w:val="BlockText"/>
              <w:ind w:left="223" w:hanging="223"/>
              <w:rPr>
                <w:szCs w:val="16"/>
                <w:u w:val="none"/>
              </w:rPr>
            </w:pPr>
            <w:r>
              <w:rPr>
                <w:szCs w:val="16"/>
                <w:u w:val="none"/>
              </w:rPr>
              <w:t>II -</w:t>
            </w:r>
            <w:r w:rsidRPr="00C62FE9">
              <w:rPr>
                <w:szCs w:val="16"/>
                <w:u w:val="none"/>
              </w:rPr>
              <w:t xml:space="preserve"> aguarrás mineral, classificada no código 2710.00.92 da Nomenclatura Brasileira de Mercadorias – Sistema Harmonizado – NBM/SH.</w:t>
            </w:r>
          </w:p>
          <w:p w:rsidR="005253E6" w:rsidRPr="00C62FE9" w:rsidRDefault="005253E6" w:rsidP="00D95BC8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3107">
              <w:rPr>
                <w:rFonts w:ascii="Arial" w:hAnsi="Arial"/>
                <w:sz w:val="16"/>
                <w:szCs w:val="16"/>
              </w:rPr>
              <w:t>2710.00.92</w:t>
            </w:r>
          </w:p>
        </w:tc>
        <w:tc>
          <w:tcPr>
            <w:tcW w:w="992" w:type="dxa"/>
            <w:tcBorders>
              <w:top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Pr="00C62FE9">
              <w:rPr>
                <w:rFonts w:ascii="Arial" w:hAnsi="Arial" w:cs="Arial"/>
                <w:sz w:val="16"/>
                <w:szCs w:val="16"/>
              </w:rPr>
              <w:t>0%</w:t>
            </w:r>
          </w:p>
        </w:tc>
        <w:tc>
          <w:tcPr>
            <w:tcW w:w="850" w:type="dxa"/>
            <w:tcBorders>
              <w:top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Pr="00C62FE9">
              <w:rPr>
                <w:rFonts w:ascii="Arial" w:hAnsi="Arial" w:cs="Arial"/>
                <w:sz w:val="16"/>
                <w:szCs w:val="16"/>
              </w:rPr>
              <w:t>0%</w:t>
            </w:r>
          </w:p>
        </w:tc>
        <w:tc>
          <w:tcPr>
            <w:tcW w:w="851" w:type="dxa"/>
            <w:tcBorders>
              <w:top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Pr="00C62FE9">
              <w:rPr>
                <w:rFonts w:ascii="Arial" w:hAnsi="Arial" w:cs="Arial"/>
                <w:sz w:val="16"/>
                <w:szCs w:val="16"/>
              </w:rPr>
              <w:t>0%</w:t>
            </w:r>
          </w:p>
        </w:tc>
        <w:tc>
          <w:tcPr>
            <w:tcW w:w="850" w:type="dxa"/>
            <w:tcBorders>
              <w:top w:val="nil"/>
            </w:tcBorders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Pr="00C62FE9">
              <w:rPr>
                <w:rFonts w:ascii="Arial" w:hAnsi="Arial" w:cs="Arial"/>
                <w:sz w:val="16"/>
                <w:szCs w:val="16"/>
              </w:rPr>
              <w:t>0%</w:t>
            </w:r>
          </w:p>
        </w:tc>
      </w:tr>
    </w:tbl>
    <w:p w:rsidR="005253E6" w:rsidRDefault="005253E6" w:rsidP="005253E6">
      <w:pPr>
        <w:ind w:firstLine="540"/>
        <w:jc w:val="both"/>
        <w:rPr>
          <w:b/>
        </w:rPr>
      </w:pPr>
    </w:p>
    <w:p w:rsidR="005253E6" w:rsidRDefault="005253E6" w:rsidP="005253E6">
      <w:pPr>
        <w:ind w:firstLine="540"/>
        <w:jc w:val="both"/>
      </w:pPr>
      <w:r>
        <w:rPr>
          <w:b/>
        </w:rPr>
        <w:t>V</w:t>
      </w:r>
      <w:r>
        <w:t xml:space="preserve"> – o subitem V do item 44 do Anexo V: (Prot. ICMS 26/01)</w:t>
      </w:r>
    </w:p>
    <w:p w:rsidR="005253E6" w:rsidRDefault="005253E6" w:rsidP="005253E6">
      <w:pPr>
        <w:ind w:firstLine="540"/>
        <w:jc w:val="both"/>
      </w:pPr>
    </w:p>
    <w:tbl>
      <w:tblPr>
        <w:tblW w:w="97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3544"/>
        <w:gridCol w:w="1134"/>
        <w:gridCol w:w="992"/>
        <w:gridCol w:w="851"/>
        <w:gridCol w:w="850"/>
        <w:gridCol w:w="851"/>
        <w:gridCol w:w="850"/>
      </w:tblGrid>
      <w:tr w:rsidR="005253E6" w:rsidRPr="00C62FE9" w:rsidTr="00D95B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7" w:type="dxa"/>
          </w:tcPr>
          <w:p w:rsidR="005253E6" w:rsidRPr="00C62FE9" w:rsidRDefault="005253E6" w:rsidP="00D95BC8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4" w:type="dxa"/>
          </w:tcPr>
          <w:p w:rsidR="005253E6" w:rsidRPr="00C62FE9" w:rsidRDefault="005253E6" w:rsidP="00D95BC8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62FE9">
              <w:rPr>
                <w:rFonts w:ascii="Arial" w:hAnsi="Arial" w:cs="Arial"/>
                <w:sz w:val="16"/>
                <w:szCs w:val="16"/>
              </w:rPr>
              <w:t>V - Lâmpada</w:t>
            </w:r>
            <w:r w:rsidRPr="00930687">
              <w:rPr>
                <w:rFonts w:ascii="Arial" w:hAnsi="Arial" w:cs="Arial"/>
                <w:sz w:val="16"/>
                <w:szCs w:val="16"/>
              </w:rPr>
              <w:t xml:space="preserve"> elétrica e eletrônica</w:t>
            </w:r>
            <w:r>
              <w:rPr>
                <w:rFonts w:ascii="Arial" w:hAnsi="Arial" w:cs="Arial"/>
                <w:sz w:val="16"/>
                <w:szCs w:val="16"/>
              </w:rPr>
              <w:t xml:space="preserve">; </w:t>
            </w:r>
            <w:r w:rsidRPr="00930687">
              <w:rPr>
                <w:rFonts w:ascii="Arial" w:hAnsi="Arial" w:cs="Arial"/>
                <w:sz w:val="16"/>
                <w:szCs w:val="16"/>
              </w:rPr>
              <w:t>reator e “starter”</w:t>
            </w:r>
            <w:r w:rsidRPr="00C62FE9">
              <w:rPr>
                <w:rFonts w:ascii="Arial" w:hAnsi="Arial" w:cs="Arial"/>
                <w:sz w:val="16"/>
                <w:szCs w:val="16"/>
              </w:rPr>
              <w:t xml:space="preserve"> (Prot. ICM 17/85)</w:t>
            </w:r>
          </w:p>
        </w:tc>
        <w:tc>
          <w:tcPr>
            <w:tcW w:w="1134" w:type="dxa"/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30687">
              <w:rPr>
                <w:rFonts w:ascii="Arial" w:hAnsi="Arial" w:cs="Arial"/>
                <w:sz w:val="16"/>
                <w:szCs w:val="16"/>
              </w:rPr>
              <w:t>8539 e 8540</w:t>
            </w:r>
            <w:r>
              <w:rPr>
                <w:rFonts w:ascii="Arial" w:hAnsi="Arial" w:cs="Arial"/>
                <w:sz w:val="16"/>
                <w:szCs w:val="16"/>
              </w:rPr>
              <w:t>;</w:t>
            </w:r>
            <w:r w:rsidRPr="00930687">
              <w:rPr>
                <w:rFonts w:ascii="Arial" w:hAnsi="Arial" w:cs="Arial"/>
                <w:sz w:val="16"/>
                <w:szCs w:val="16"/>
              </w:rPr>
              <w:t xml:space="preserve"> 8504.10.00 e </w:t>
            </w:r>
            <w:r w:rsidRPr="00930687">
              <w:rPr>
                <w:rFonts w:ascii="Arial" w:hAnsi="Arial" w:cs="Arial"/>
                <w:sz w:val="16"/>
                <w:szCs w:val="16"/>
              </w:rPr>
              <w:lastRenderedPageBreak/>
              <w:t>8536.50.90</w:t>
            </w:r>
          </w:p>
        </w:tc>
        <w:tc>
          <w:tcPr>
            <w:tcW w:w="992" w:type="dxa"/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2FE9">
              <w:rPr>
                <w:rFonts w:ascii="Arial" w:hAnsi="Arial" w:cs="Arial"/>
                <w:sz w:val="16"/>
                <w:szCs w:val="16"/>
              </w:rPr>
              <w:t>40%</w:t>
            </w:r>
          </w:p>
        </w:tc>
        <w:tc>
          <w:tcPr>
            <w:tcW w:w="850" w:type="dxa"/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2FE9">
              <w:rPr>
                <w:rFonts w:ascii="Arial" w:hAnsi="Arial" w:cs="Arial"/>
                <w:sz w:val="16"/>
                <w:szCs w:val="16"/>
              </w:rPr>
              <w:t>40%</w:t>
            </w:r>
          </w:p>
        </w:tc>
        <w:tc>
          <w:tcPr>
            <w:tcW w:w="851" w:type="dxa"/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2FE9">
              <w:rPr>
                <w:rFonts w:ascii="Arial" w:hAnsi="Arial" w:cs="Arial"/>
                <w:sz w:val="16"/>
                <w:szCs w:val="16"/>
              </w:rPr>
              <w:t>40%</w:t>
            </w:r>
          </w:p>
        </w:tc>
        <w:tc>
          <w:tcPr>
            <w:tcW w:w="850" w:type="dxa"/>
          </w:tcPr>
          <w:p w:rsidR="005253E6" w:rsidRPr="00C62FE9" w:rsidRDefault="005253E6" w:rsidP="00D95B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62FE9">
              <w:rPr>
                <w:rFonts w:ascii="Arial" w:hAnsi="Arial" w:cs="Arial"/>
                <w:sz w:val="16"/>
                <w:szCs w:val="16"/>
              </w:rPr>
              <w:t>40%</w:t>
            </w:r>
          </w:p>
        </w:tc>
      </w:tr>
    </w:tbl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>
        <w:rPr>
          <w:b/>
        </w:rPr>
        <w:t>VI</w:t>
      </w:r>
      <w:r>
        <w:t xml:space="preserve"> – o item 21 da Tabela I do Anexo II: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 w:rsidRPr="00A526C2">
        <w:t xml:space="preserve">“21 – para 58,34% (cinqüenta e oito inteiros e trinta e quatro centésimos por cento) de forma que a carga tributária efetiva não seja inferior a </w:t>
      </w:r>
      <w:r>
        <w:t>7</w:t>
      </w:r>
      <w:r w:rsidRPr="00A526C2">
        <w:t>% (</w:t>
      </w:r>
      <w:r>
        <w:t>sete</w:t>
      </w:r>
      <w:r w:rsidRPr="00A526C2">
        <w:t xml:space="preserve"> por cento), nas saídas interestaduais de gado bovino ou bu</w:t>
      </w:r>
      <w:r>
        <w:t>f</w:t>
      </w:r>
      <w:r w:rsidRPr="00A526C2">
        <w:t>alino com peso vivo igual ou inferior a 26 (vinte e seis) arrobas se macho e 16 (dezesseis) arrobas se fêmeo.</w:t>
      </w:r>
      <w:r>
        <w:t>”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 w:rsidRPr="002D66BE">
        <w:rPr>
          <w:b/>
        </w:rPr>
        <w:t>V</w:t>
      </w:r>
      <w:r>
        <w:rPr>
          <w:b/>
        </w:rPr>
        <w:t>II</w:t>
      </w:r>
      <w:r w:rsidRPr="002D66BE">
        <w:rPr>
          <w:b/>
        </w:rPr>
        <w:t xml:space="preserve"> </w:t>
      </w:r>
      <w:r>
        <w:t>– o artigo 645: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>
        <w:t>“</w:t>
      </w:r>
      <w:r w:rsidRPr="00223461">
        <w:t>Art. 645</w:t>
      </w:r>
      <w:r>
        <w:t xml:space="preserve">. O imposto será pago: 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>
        <w:t xml:space="preserve">I – nas saídas internas destinadas a consumidor final, exceto à empresa prestadora de serviço de construção civil, </w:t>
      </w:r>
      <w:smartTag w:uri="urn:schemas-microsoft-com:office:smarttags" w:element="PersonName">
        <w:smartTagPr>
          <w:attr w:name="ProductID" w:val="em Conta Gr￡fica"/>
        </w:smartTagPr>
        <w:r>
          <w:t>em Conta Gráfica</w:t>
        </w:r>
      </w:smartTag>
      <w:r>
        <w:t>;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>
        <w:t xml:space="preserve">II – nos demais casos, em Documento de Arrecadação, na repartição fiscal de jurisdição do remetente, antes da remessa, ressalvado o disposto no artigo </w:t>
      </w:r>
      <w:smartTag w:uri="urn:schemas-microsoft-com:office:smarttags" w:element="metricconverter">
        <w:smartTagPr>
          <w:attr w:name="ProductID" w:val="55.”"/>
        </w:smartTagPr>
        <w:r>
          <w:t>55.”</w:t>
        </w:r>
      </w:smartTag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 w:rsidRPr="002D66BE">
        <w:rPr>
          <w:b/>
        </w:rPr>
        <w:t>V</w:t>
      </w:r>
      <w:r>
        <w:rPr>
          <w:b/>
        </w:rPr>
        <w:t>III</w:t>
      </w:r>
      <w:r w:rsidRPr="002D66BE">
        <w:rPr>
          <w:b/>
        </w:rPr>
        <w:t xml:space="preserve"> </w:t>
      </w:r>
      <w:r>
        <w:t>– os incisos I e II do § 1º do artigo 723: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>
        <w:t>“</w:t>
      </w:r>
      <w:r w:rsidRPr="006A23F2">
        <w:t>I </w:t>
      </w:r>
      <w:r>
        <w:t>–</w:t>
      </w:r>
      <w:r w:rsidRPr="006A23F2">
        <w:t xml:space="preserve"> na hipótese em que o sujeito passivo por substituição seja a distribuidora de combustíveis, como tal definida e autorizada pelo órgão federal competente, em relação aos produtos indicados no </w:t>
      </w:r>
      <w:r>
        <w:t xml:space="preserve">subitem I do item 20 do </w:t>
      </w:r>
      <w:r w:rsidRPr="006A23F2">
        <w:t xml:space="preserve">Anexo V, os percentuais nele constantes; 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 w:rsidRPr="006A23F2">
        <w:t>II </w:t>
      </w:r>
      <w:r>
        <w:t>–</w:t>
      </w:r>
      <w:r w:rsidRPr="006A23F2">
        <w:t xml:space="preserve"> na hipótese em que o sujeito passivo por substituição seja produtor nacional de combustíveis, em relação aos produtos indicados no </w:t>
      </w:r>
      <w:r>
        <w:t xml:space="preserve">subitem II do item 20 do </w:t>
      </w:r>
      <w:r w:rsidRPr="006A23F2">
        <w:t xml:space="preserve">Anexo V, os percentuais nele </w:t>
      </w:r>
      <w:r>
        <w:t>constantes;”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>
        <w:rPr>
          <w:b/>
        </w:rPr>
        <w:t>IX</w:t>
      </w:r>
      <w:r w:rsidRPr="002D66BE">
        <w:rPr>
          <w:b/>
        </w:rPr>
        <w:t xml:space="preserve"> </w:t>
      </w:r>
      <w:r>
        <w:t>– o § 2º do artigo 723: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>
        <w:t>“</w:t>
      </w:r>
      <w:r w:rsidRPr="00EA25E5">
        <w:t xml:space="preserve">§ 2º Na hipótese do artigo </w:t>
      </w:r>
      <w:r>
        <w:t>722</w:t>
      </w:r>
      <w:r w:rsidRPr="00EA25E5">
        <w:t xml:space="preserve">, na falta do preço a que se refere o </w:t>
      </w:r>
      <w:r>
        <w:t>“</w:t>
      </w:r>
      <w:r w:rsidRPr="00EA25E5">
        <w:t>caput</w:t>
      </w:r>
      <w:r>
        <w:t>”</w:t>
      </w:r>
      <w:r w:rsidRPr="00EA25E5">
        <w:t xml:space="preserve">, a base de cálculo será o montante formado pelo valor da mercadoria constante no documento de importação, que não poderá ser inferior ao valor que serviu de base de cálculo para o Imposto de Importação, acrescido dos valores correspondentes a tributos, inclusive o ICMS devido pela importação, contribuições, frete, seguro e outros encargos devidos pelo importador, adicionado, ainda, do valor resultante da aplicação dos percentuais de margem de valor agregado previstos no </w:t>
      </w:r>
      <w:r>
        <w:t xml:space="preserve">subitem III do item 20 do </w:t>
      </w:r>
      <w:r w:rsidRPr="006A23F2">
        <w:t>Anexo V</w:t>
      </w:r>
      <w:r w:rsidRPr="00EA25E5">
        <w:t>. (</w:t>
      </w:r>
      <w:proofErr w:type="spellStart"/>
      <w:r w:rsidRPr="00EA25E5">
        <w:t>Conv</w:t>
      </w:r>
      <w:proofErr w:type="spellEnd"/>
      <w:r w:rsidRPr="00EA25E5">
        <w:t xml:space="preserve">. ICMS 03/99, </w:t>
      </w:r>
      <w:r>
        <w:t>C</w:t>
      </w:r>
      <w:r w:rsidRPr="00EA25E5">
        <w:t>l. terceira)</w:t>
      </w:r>
      <w:r>
        <w:t>”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>
        <w:rPr>
          <w:b/>
        </w:rPr>
        <w:t xml:space="preserve">X </w:t>
      </w:r>
      <w:r>
        <w:t>– a alínea “b” do inciso I do § 1º do artigo 732-C:</w:t>
      </w:r>
    </w:p>
    <w:p w:rsidR="005253E6" w:rsidRDefault="005253E6" w:rsidP="005253E6">
      <w:pPr>
        <w:ind w:firstLine="540"/>
        <w:jc w:val="both"/>
      </w:pPr>
    </w:p>
    <w:p w:rsidR="005253E6" w:rsidRPr="006A23F2" w:rsidRDefault="005253E6" w:rsidP="005253E6">
      <w:pPr>
        <w:ind w:firstLine="540"/>
        <w:jc w:val="both"/>
      </w:pPr>
      <w:r>
        <w:t xml:space="preserve">“b) não existindo preço máximo ou único de venda a consumidor, adotará como valor de partida o preço unitário à vista praticado na data da operação por refinaria de petróleo indicada </w:t>
      </w:r>
      <w:smartTag w:uri="urn:schemas-microsoft-com:office:smarttags" w:element="PersonName">
        <w:smartTagPr>
          <w:attr w:name="ProductID" w:val="em Ato COTEPE"/>
        </w:smartTagPr>
        <w:r>
          <w:t>em Ato COTEPE</w:t>
        </w:r>
      </w:smartTag>
      <w:r>
        <w:t xml:space="preserve">/ICMS, dele excluído o respectivo valor do ICMS e adicionará a esse valor o resultante da </w:t>
      </w:r>
      <w:r>
        <w:lastRenderedPageBreak/>
        <w:t xml:space="preserve">aplicação do percentual da margem de valor agregado à operação interestadual, estabelecido </w:t>
      </w:r>
      <w:r w:rsidRPr="006A23F2">
        <w:t xml:space="preserve">no </w:t>
      </w:r>
      <w:r>
        <w:t xml:space="preserve">subitem II do item 20 do </w:t>
      </w:r>
      <w:r w:rsidRPr="006A23F2">
        <w:t>Anexo V</w:t>
      </w:r>
      <w:r>
        <w:t>;”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>
        <w:rPr>
          <w:b/>
        </w:rPr>
        <w:t>XI</w:t>
      </w:r>
      <w:r w:rsidRPr="002D66BE">
        <w:rPr>
          <w:b/>
        </w:rPr>
        <w:t xml:space="preserve"> </w:t>
      </w:r>
      <w:r>
        <w:t>– o § 8º do artigo 731: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>
        <w:t>“</w:t>
      </w:r>
      <w:r w:rsidRPr="00EA25E5">
        <w:t>§</w:t>
      </w:r>
      <w:r>
        <w:t xml:space="preserve"> </w:t>
      </w:r>
      <w:r w:rsidRPr="00693846">
        <w:rPr>
          <w:bCs/>
        </w:rPr>
        <w:t>8º</w:t>
      </w:r>
      <w:r>
        <w:t xml:space="preserve"> Na hipótese de dilação, a qualquer título, do prazo de pagamento do ICMS pela unidade federada de origem, o imposto deverá ser recolhido integralmente à unidade federada de destino no prazo fixado no Convênio ICMS nº 03/99.”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>
        <w:rPr>
          <w:b/>
        </w:rPr>
        <w:t>XII</w:t>
      </w:r>
      <w:r w:rsidRPr="002D66BE">
        <w:rPr>
          <w:b/>
        </w:rPr>
        <w:t xml:space="preserve"> </w:t>
      </w:r>
      <w:r>
        <w:t>– o § 8º do artigo 732: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>
        <w:t>“</w:t>
      </w:r>
      <w:r w:rsidRPr="00EA25E5">
        <w:t>§</w:t>
      </w:r>
      <w:r>
        <w:t xml:space="preserve"> </w:t>
      </w:r>
      <w:r w:rsidRPr="00693846">
        <w:rPr>
          <w:bCs/>
        </w:rPr>
        <w:t>8º</w:t>
      </w:r>
      <w:r>
        <w:t xml:space="preserve"> Na hipótese de dilação, a qualquer título, do prazo de pagamento do ICMS pela unidade federada de origem, o imposto deverá ser recolhido integralmente à unidade federada de destino no prazo fixado no Convênio ICMS nº 03/99.”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>
        <w:rPr>
          <w:b/>
        </w:rPr>
        <w:t>XIII</w:t>
      </w:r>
      <w:r>
        <w:t xml:space="preserve"> – o item 82 da Tabela I do Anexo I: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>
        <w:t>“</w:t>
      </w:r>
      <w:r w:rsidRPr="00E7546D">
        <w:t>82. As operações interestaduais com ovo produzido no estado de Rondônia.</w:t>
      </w:r>
    </w:p>
    <w:p w:rsidR="005253E6" w:rsidRDefault="005253E6" w:rsidP="005253E6">
      <w:pPr>
        <w:ind w:firstLine="540"/>
        <w:jc w:val="both"/>
      </w:pPr>
    </w:p>
    <w:p w:rsidR="005253E6" w:rsidRPr="00E7546D" w:rsidRDefault="005253E6" w:rsidP="005253E6">
      <w:pPr>
        <w:ind w:firstLine="540"/>
        <w:jc w:val="both"/>
      </w:pPr>
      <w:r w:rsidRPr="00E7546D">
        <w:t xml:space="preserve">Nota única: Não se exigirá o estorno do crédito fiscal a que se refere o artigo 34 da Lei nº 688, de 27 de dezembro de </w:t>
      </w:r>
      <w:smartTag w:uri="urn:schemas-microsoft-com:office:smarttags" w:element="metricconverter">
        <w:smartTagPr>
          <w:attr w:name="ProductID" w:val="1996.”"/>
        </w:smartTagPr>
        <w:r w:rsidRPr="00E7546D">
          <w:t>1996</w:t>
        </w:r>
        <w:r>
          <w:t>.”</w:t>
        </w:r>
      </w:smartTag>
    </w:p>
    <w:p w:rsidR="005253E6" w:rsidRDefault="005253E6" w:rsidP="005253E6">
      <w:pPr>
        <w:ind w:firstLine="540"/>
        <w:jc w:val="both"/>
      </w:pPr>
    </w:p>
    <w:p w:rsidR="005253E6" w:rsidRPr="008C58BB" w:rsidRDefault="005253E6" w:rsidP="005253E6">
      <w:pPr>
        <w:pStyle w:val="Recuodecorpodetexto"/>
        <w:widowControl/>
        <w:ind w:firstLine="540"/>
        <w:rPr>
          <w:color w:val="FF0000"/>
          <w:sz w:val="24"/>
          <w:szCs w:val="24"/>
        </w:rPr>
      </w:pPr>
      <w:r w:rsidRPr="005F5C9E">
        <w:rPr>
          <w:b/>
          <w:color w:val="auto"/>
          <w:sz w:val="24"/>
          <w:szCs w:val="24"/>
        </w:rPr>
        <w:t xml:space="preserve">Art. </w:t>
      </w:r>
      <w:r>
        <w:rPr>
          <w:b/>
          <w:color w:val="auto"/>
          <w:sz w:val="24"/>
          <w:szCs w:val="24"/>
        </w:rPr>
        <w:t>2</w:t>
      </w:r>
      <w:r w:rsidRPr="005F5C9E">
        <w:rPr>
          <w:b/>
          <w:color w:val="auto"/>
          <w:sz w:val="24"/>
          <w:szCs w:val="24"/>
        </w:rPr>
        <w:t>º</w:t>
      </w:r>
      <w:r w:rsidRPr="005F5C9E">
        <w:rPr>
          <w:color w:val="auto"/>
          <w:sz w:val="24"/>
          <w:szCs w:val="24"/>
        </w:rPr>
        <w:t xml:space="preserve"> Passa a vigorar com a seguinte redação </w:t>
      </w:r>
      <w:r>
        <w:rPr>
          <w:color w:val="auto"/>
          <w:sz w:val="24"/>
          <w:szCs w:val="24"/>
        </w:rPr>
        <w:t>o</w:t>
      </w:r>
      <w:r w:rsidRPr="003956CD">
        <w:rPr>
          <w:color w:val="auto"/>
          <w:sz w:val="24"/>
          <w:szCs w:val="24"/>
        </w:rPr>
        <w:t xml:space="preserve"> § 5º do artigo 3º</w:t>
      </w:r>
      <w:r>
        <w:rPr>
          <w:color w:val="auto"/>
          <w:sz w:val="24"/>
          <w:szCs w:val="24"/>
        </w:rPr>
        <w:t xml:space="preserve"> </w:t>
      </w:r>
      <w:r w:rsidRPr="005F5C9E">
        <w:rPr>
          <w:color w:val="auto"/>
          <w:sz w:val="24"/>
          <w:szCs w:val="24"/>
        </w:rPr>
        <w:t xml:space="preserve">do Decreto nº 8945, de 30 de dezembro de </w:t>
      </w:r>
      <w:r>
        <w:rPr>
          <w:color w:val="auto"/>
          <w:sz w:val="24"/>
          <w:szCs w:val="24"/>
        </w:rPr>
        <w:t>1999:</w:t>
      </w:r>
    </w:p>
    <w:p w:rsidR="005253E6" w:rsidRPr="007D7C6F" w:rsidRDefault="005253E6" w:rsidP="005253E6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5253E6" w:rsidRDefault="005253E6" w:rsidP="005253E6">
      <w:pPr>
        <w:ind w:firstLine="540"/>
        <w:jc w:val="both"/>
      </w:pPr>
      <w:r>
        <w:t>“</w:t>
      </w:r>
      <w:r w:rsidRPr="005F5C9E">
        <w:t>§ 5º O imposto cobrado na forma do § 3º deverá ser pago no momento da entrada da mercadoria no estado de Rondônia quando o contribuinte possuir débitos vencidos e não pagos referentes a tributos administrados pela Coordenadoria da Receita Estadual, salvo quando</w:t>
      </w:r>
      <w:r>
        <w:t>: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>
        <w:t>I –</w:t>
      </w:r>
      <w:r w:rsidRPr="005F5C9E">
        <w:t xml:space="preserve"> a entrada se der por meio de transportador detentor de regime especial de depositário, hipótese em que o pagamento se dará conforme previsto na Resolução Conjunta nº 001/2004/GAB/SEFIN/CRE</w:t>
      </w:r>
      <w:r>
        <w:t>;</w:t>
      </w:r>
    </w:p>
    <w:p w:rsidR="005253E6" w:rsidRDefault="005253E6" w:rsidP="005253E6">
      <w:pPr>
        <w:ind w:firstLine="540"/>
        <w:jc w:val="both"/>
      </w:pPr>
    </w:p>
    <w:p w:rsidR="005253E6" w:rsidRPr="005F5C9E" w:rsidRDefault="005253E6" w:rsidP="005253E6">
      <w:pPr>
        <w:ind w:firstLine="540"/>
        <w:jc w:val="both"/>
      </w:pPr>
      <w:r>
        <w:t xml:space="preserve">II – </w:t>
      </w:r>
      <w:r w:rsidRPr="00F4123F">
        <w:t xml:space="preserve">a soma dos lançamentos para o mesmo contribuinte, referentes à carga transportada, não exceder o valor correspondente a meia (1/2) UPF, hipótese em que os prazos de pagamento do imposto serão os </w:t>
      </w:r>
      <w:r w:rsidRPr="0059311B">
        <w:t>previsto</w:t>
      </w:r>
      <w:r>
        <w:t>s</w:t>
      </w:r>
      <w:r w:rsidRPr="0059311B">
        <w:t xml:space="preserve"> </w:t>
      </w:r>
      <w:r>
        <w:t>no § 3º.”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 w:rsidRPr="005F5C9E">
        <w:rPr>
          <w:b/>
        </w:rPr>
        <w:t xml:space="preserve">Art. </w:t>
      </w:r>
      <w:r>
        <w:rPr>
          <w:b/>
        </w:rPr>
        <w:t>3</w:t>
      </w:r>
      <w:r w:rsidRPr="005F5C9E">
        <w:rPr>
          <w:b/>
        </w:rPr>
        <w:t>º</w:t>
      </w:r>
      <w:r w:rsidRPr="005F5C9E">
        <w:t xml:space="preserve"> Passa a vigorar com a seguinte redação </w:t>
      </w:r>
      <w:r w:rsidRPr="003956CD">
        <w:t>o § 2º do artigo 3º</w:t>
      </w:r>
      <w:r w:rsidRPr="005F5C9E">
        <w:t xml:space="preserve"> do Decreto n</w:t>
      </w:r>
      <w:r>
        <w:t xml:space="preserve">º </w:t>
      </w:r>
      <w:r w:rsidRPr="004244F4">
        <w:t xml:space="preserve">11430, </w:t>
      </w:r>
      <w:r>
        <w:t>de</w:t>
      </w:r>
      <w:r w:rsidRPr="004244F4">
        <w:t xml:space="preserve"> 16 </w:t>
      </w:r>
      <w:r>
        <w:t>de dezembro de</w:t>
      </w:r>
      <w:r w:rsidRPr="004244F4">
        <w:t xml:space="preserve"> 2004</w:t>
      </w:r>
      <w:r w:rsidRPr="007D7C6F">
        <w:t>:</w:t>
      </w:r>
    </w:p>
    <w:p w:rsidR="005253E6" w:rsidRPr="007D7C6F" w:rsidRDefault="005253E6" w:rsidP="005253E6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5253E6" w:rsidRDefault="005253E6" w:rsidP="005253E6">
      <w:pPr>
        <w:ind w:firstLine="540"/>
        <w:jc w:val="both"/>
      </w:pPr>
      <w:r>
        <w:t>“</w:t>
      </w:r>
      <w:r w:rsidRPr="005D2FB8">
        <w:t>§ 2º</w:t>
      </w:r>
      <w:r>
        <w:t xml:space="preserve"> </w:t>
      </w:r>
      <w:r w:rsidRPr="005D2FB8">
        <w:t xml:space="preserve">Na hipótese do inciso III do “caput”, quando se </w:t>
      </w:r>
      <w:r>
        <w:t xml:space="preserve">tratar de débitos relacionados a serviço ou </w:t>
      </w:r>
      <w:r w:rsidRPr="005D2FB8">
        <w:t>mercadoria cujo imposto deva ser pago antes de</w:t>
      </w:r>
      <w:r>
        <w:t xml:space="preserve"> seu início ou</w:t>
      </w:r>
      <w:r w:rsidRPr="005D2FB8">
        <w:t xml:space="preserve"> saída, por meio de documento de arrecadação próprio, somente poderão ser utilizados os créditos fiscais transferidos para a “conta corrente de créditos fiscais autorizados para utilização desvinculada da conta gráfica”, conforme disciplinado no Capítulo II-A deste Decreto.</w:t>
      </w:r>
      <w:r>
        <w:t>”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 w:rsidRPr="005F5C9E">
        <w:rPr>
          <w:b/>
        </w:rPr>
        <w:t xml:space="preserve">Art. </w:t>
      </w:r>
      <w:r>
        <w:rPr>
          <w:b/>
        </w:rPr>
        <w:t>4</w:t>
      </w:r>
      <w:r w:rsidRPr="005F5C9E">
        <w:rPr>
          <w:b/>
        </w:rPr>
        <w:t>º</w:t>
      </w:r>
      <w:r w:rsidRPr="005F5C9E">
        <w:t xml:space="preserve"> Passa a vigorar com a seguinte redação </w:t>
      </w:r>
      <w:r w:rsidRPr="003956CD">
        <w:t xml:space="preserve">o </w:t>
      </w:r>
      <w:r>
        <w:t xml:space="preserve">artigo </w:t>
      </w:r>
      <w:r w:rsidRPr="003956CD">
        <w:t>2º</w:t>
      </w:r>
      <w:r w:rsidRPr="005F5C9E">
        <w:t xml:space="preserve"> do Decreto n</w:t>
      </w:r>
      <w:r>
        <w:t xml:space="preserve">º </w:t>
      </w:r>
      <w:r w:rsidRPr="004244F4">
        <w:t>1</w:t>
      </w:r>
      <w:r>
        <w:t>2309</w:t>
      </w:r>
      <w:r w:rsidRPr="004244F4">
        <w:t xml:space="preserve">, </w:t>
      </w:r>
      <w:r>
        <w:t>de</w:t>
      </w:r>
      <w:r w:rsidRPr="004244F4">
        <w:t xml:space="preserve"> </w:t>
      </w:r>
      <w:r>
        <w:t>10</w:t>
      </w:r>
      <w:r w:rsidRPr="004244F4">
        <w:t xml:space="preserve"> </w:t>
      </w:r>
      <w:r>
        <w:t>de julho de</w:t>
      </w:r>
      <w:r w:rsidRPr="004244F4">
        <w:t xml:space="preserve"> 200</w:t>
      </w:r>
      <w:r>
        <w:t>6</w:t>
      </w:r>
      <w:r w:rsidRPr="007D7C6F">
        <w:t>:</w:t>
      </w:r>
    </w:p>
    <w:p w:rsidR="005253E6" w:rsidRPr="007D7C6F" w:rsidRDefault="005253E6" w:rsidP="005253E6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5253E6" w:rsidRDefault="005253E6" w:rsidP="005253E6">
      <w:pPr>
        <w:ind w:firstLine="540"/>
        <w:jc w:val="both"/>
      </w:pPr>
      <w:r>
        <w:t>“</w:t>
      </w:r>
      <w:r w:rsidRPr="001C13FE">
        <w:t xml:space="preserve">Art. 2º </w:t>
      </w:r>
      <w:r w:rsidRPr="00A704E4">
        <w:t xml:space="preserve">O contribuinte </w:t>
      </w:r>
      <w:r>
        <w:t xml:space="preserve">que, até o dia 31 de julho de 2006, seja </w:t>
      </w:r>
      <w:r w:rsidRPr="00A704E4">
        <w:t>usuário de sistema eletrônico de processamento de dados para emissão de documentos fiscais e escrituração de livros fiscais</w:t>
      </w:r>
      <w:r w:rsidRPr="003722AD">
        <w:t xml:space="preserve"> </w:t>
      </w:r>
      <w:r>
        <w:t xml:space="preserve">deverá </w:t>
      </w:r>
      <w:r w:rsidRPr="00A704E4">
        <w:t>prestar ao Fisco</w:t>
      </w:r>
      <w:r>
        <w:t>, até o dia 31 de dezembro de 2006,</w:t>
      </w:r>
      <w:r w:rsidRPr="00A704E4">
        <w:t xml:space="preserve"> as informações acerca dos sistemas em uso</w:t>
      </w:r>
      <w:r>
        <w:t xml:space="preserve">, conforme procedimentos estabelecidos </w:t>
      </w:r>
      <w:smartTag w:uri="urn:schemas-microsoft-com:office:smarttags" w:element="PersonName">
        <w:smartTagPr>
          <w:attr w:name="ProductID" w:val="em ato da Coordenadoria"/>
        </w:smartTagPr>
        <w:r>
          <w:t xml:space="preserve">em </w:t>
        </w:r>
        <w:r w:rsidRPr="001F40BE">
          <w:t>ato da Coordenadoria</w:t>
        </w:r>
      </w:smartTag>
      <w:r w:rsidRPr="001F40BE">
        <w:t xml:space="preserve"> da Receita Estadua</w:t>
      </w:r>
      <w:r>
        <w:t>l.”</w:t>
      </w:r>
    </w:p>
    <w:p w:rsidR="005253E6" w:rsidRDefault="005253E6" w:rsidP="005253E6">
      <w:pPr>
        <w:ind w:firstLine="540"/>
        <w:jc w:val="both"/>
      </w:pPr>
    </w:p>
    <w:p w:rsidR="005253E6" w:rsidRPr="007D7C6F" w:rsidRDefault="005253E6" w:rsidP="005253E6">
      <w:pPr>
        <w:pStyle w:val="Recuodecorpodetexto"/>
        <w:widowControl/>
        <w:ind w:firstLine="540"/>
        <w:rPr>
          <w:color w:val="auto"/>
          <w:sz w:val="24"/>
          <w:szCs w:val="24"/>
        </w:rPr>
      </w:pPr>
      <w:r w:rsidRPr="007D7C6F">
        <w:rPr>
          <w:b/>
          <w:color w:val="auto"/>
          <w:sz w:val="24"/>
          <w:szCs w:val="24"/>
        </w:rPr>
        <w:t xml:space="preserve">Art. </w:t>
      </w:r>
      <w:r>
        <w:rPr>
          <w:b/>
          <w:color w:val="auto"/>
          <w:sz w:val="24"/>
          <w:szCs w:val="24"/>
        </w:rPr>
        <w:t xml:space="preserve">5º </w:t>
      </w:r>
      <w:r w:rsidRPr="0059311B">
        <w:rPr>
          <w:color w:val="auto"/>
          <w:sz w:val="24"/>
          <w:szCs w:val="24"/>
        </w:rPr>
        <w:t xml:space="preserve">Fica acrescentado </w:t>
      </w:r>
      <w:r w:rsidRPr="00B05372">
        <w:rPr>
          <w:color w:val="auto"/>
          <w:sz w:val="24"/>
          <w:szCs w:val="24"/>
        </w:rPr>
        <w:t>o § 6º ao artigo 5º</w:t>
      </w:r>
      <w:r>
        <w:rPr>
          <w:color w:val="auto"/>
          <w:sz w:val="24"/>
          <w:szCs w:val="24"/>
        </w:rPr>
        <w:t xml:space="preserve"> d</w:t>
      </w:r>
      <w:r w:rsidRPr="0059311B">
        <w:rPr>
          <w:color w:val="auto"/>
          <w:sz w:val="24"/>
          <w:szCs w:val="24"/>
        </w:rPr>
        <w:t xml:space="preserve">o </w:t>
      </w:r>
      <w:r w:rsidRPr="007D7C6F">
        <w:rPr>
          <w:color w:val="auto"/>
          <w:sz w:val="24"/>
          <w:szCs w:val="24"/>
        </w:rPr>
        <w:t xml:space="preserve">Decreto nº </w:t>
      </w:r>
      <w:r>
        <w:rPr>
          <w:color w:val="auto"/>
          <w:sz w:val="24"/>
          <w:szCs w:val="24"/>
        </w:rPr>
        <w:t>11140</w:t>
      </w:r>
      <w:r w:rsidRPr="007D7C6F">
        <w:rPr>
          <w:color w:val="auto"/>
          <w:sz w:val="24"/>
          <w:szCs w:val="24"/>
        </w:rPr>
        <w:t xml:space="preserve">, de </w:t>
      </w:r>
      <w:r>
        <w:rPr>
          <w:color w:val="auto"/>
          <w:sz w:val="24"/>
          <w:szCs w:val="24"/>
        </w:rPr>
        <w:t>21</w:t>
      </w:r>
      <w:r w:rsidRPr="007D7C6F">
        <w:rPr>
          <w:color w:val="auto"/>
          <w:sz w:val="24"/>
          <w:szCs w:val="24"/>
        </w:rPr>
        <w:t xml:space="preserve"> de </w:t>
      </w:r>
      <w:r>
        <w:rPr>
          <w:color w:val="auto"/>
          <w:sz w:val="24"/>
          <w:szCs w:val="24"/>
        </w:rPr>
        <w:t>julho de 2004</w:t>
      </w:r>
      <w:r w:rsidRPr="007D7C6F">
        <w:rPr>
          <w:color w:val="auto"/>
          <w:sz w:val="24"/>
          <w:szCs w:val="24"/>
        </w:rPr>
        <w:t>:</w:t>
      </w:r>
    </w:p>
    <w:p w:rsidR="005253E6" w:rsidRDefault="005253E6" w:rsidP="005253E6">
      <w:pPr>
        <w:ind w:firstLine="540"/>
        <w:jc w:val="both"/>
      </w:pPr>
    </w:p>
    <w:p w:rsidR="005253E6" w:rsidRPr="0059311B" w:rsidRDefault="005253E6" w:rsidP="005253E6">
      <w:pPr>
        <w:ind w:firstLine="540"/>
        <w:jc w:val="both"/>
      </w:pPr>
      <w:r>
        <w:t>“</w:t>
      </w:r>
      <w:r w:rsidRPr="0059311B">
        <w:t>§ 6º O prazo de pagamento previsto nos §§ 1º e 2º não se aplica quando a soma dos lançamentos para o mesmo contribuinte, referentes à carga transportada no momento da entrada da mercadoria no estado de Rondônia, não exceder o valor correspondente a meia (1/2) UPF, prevalecendo, nesta hipótese, o prazo previsto no “caput”, inclusive para as entradas realizadas por meio de transportador detentor de regime especial de depositário.</w:t>
      </w:r>
      <w:r>
        <w:t>”</w:t>
      </w:r>
    </w:p>
    <w:p w:rsidR="005253E6" w:rsidRDefault="005253E6" w:rsidP="005253E6">
      <w:pPr>
        <w:ind w:firstLine="518"/>
        <w:jc w:val="both"/>
        <w:rPr>
          <w:b/>
        </w:rPr>
      </w:pPr>
    </w:p>
    <w:p w:rsidR="005253E6" w:rsidRDefault="005253E6" w:rsidP="005253E6">
      <w:pPr>
        <w:ind w:firstLine="518"/>
        <w:jc w:val="both"/>
      </w:pPr>
      <w:r w:rsidRPr="008D3702">
        <w:rPr>
          <w:b/>
        </w:rPr>
        <w:t xml:space="preserve">Art. </w:t>
      </w:r>
      <w:r>
        <w:rPr>
          <w:b/>
        </w:rPr>
        <w:t>6</w:t>
      </w:r>
      <w:r w:rsidRPr="008D3702">
        <w:rPr>
          <w:b/>
        </w:rPr>
        <w:t>º</w:t>
      </w:r>
      <w:r w:rsidRPr="009C4ED0">
        <w:t xml:space="preserve"> Ficam acrescentados os dispositivos adiante enumerados ao Regulamento do Imposto sobre Operações Relativas à Circulação de Mercadorias e sobre Prestações de Serviços de Transporte Interestadual e Intermunicipal e de Comunicação – RICMS/RO, aprovado pelo Decreto nº 8321, de 30 de abril de 1998:</w:t>
      </w:r>
    </w:p>
    <w:p w:rsidR="005253E6" w:rsidRDefault="005253E6" w:rsidP="005253E6">
      <w:pPr>
        <w:ind w:firstLine="518"/>
        <w:jc w:val="both"/>
      </w:pPr>
    </w:p>
    <w:p w:rsidR="005253E6" w:rsidRDefault="005253E6" w:rsidP="005253E6">
      <w:pPr>
        <w:ind w:firstLine="540"/>
        <w:jc w:val="both"/>
      </w:pPr>
      <w:r>
        <w:rPr>
          <w:b/>
        </w:rPr>
        <w:t>I</w:t>
      </w:r>
      <w:r>
        <w:t xml:space="preserve"> – item 85 à Tabela I do Anexo I: (Convênio ICMS 42/01)</w:t>
      </w:r>
    </w:p>
    <w:p w:rsidR="005253E6" w:rsidRDefault="005253E6" w:rsidP="005253E6">
      <w:pPr>
        <w:ind w:firstLine="518"/>
        <w:jc w:val="both"/>
      </w:pPr>
    </w:p>
    <w:p w:rsidR="005253E6" w:rsidRDefault="005253E6" w:rsidP="005253E6">
      <w:pPr>
        <w:ind w:firstLine="518"/>
        <w:jc w:val="both"/>
      </w:pPr>
      <w:r>
        <w:t>“85 – As operações de devolução impositiva de embalagens vazias de agrotóxicos e respectivas tampas, realizadas sem ônus, nos termos da Lei Federal n° 7.802, de 11 de julho de 1989, e do correspondente Decreto de n° 98.816, de 11 de janeiro de 1990.</w:t>
      </w:r>
    </w:p>
    <w:p w:rsidR="005253E6" w:rsidRDefault="005253E6" w:rsidP="005253E6">
      <w:pPr>
        <w:ind w:firstLine="518"/>
        <w:jc w:val="both"/>
      </w:pPr>
    </w:p>
    <w:p w:rsidR="005253E6" w:rsidRDefault="005253E6" w:rsidP="005253E6">
      <w:pPr>
        <w:ind w:firstLine="518"/>
        <w:jc w:val="both"/>
      </w:pPr>
      <w:r w:rsidRPr="001F58CE">
        <w:t xml:space="preserve"> Nota 1: A nota fiscal que acobertar as operações previstas neste item deverá </w:t>
      </w:r>
      <w:r>
        <w:t xml:space="preserve">trazer </w:t>
      </w:r>
      <w:r w:rsidRPr="001F58CE">
        <w:t>consignad</w:t>
      </w:r>
      <w:r>
        <w:t>a,</w:t>
      </w:r>
      <w:r w:rsidRPr="001F58CE">
        <w:t xml:space="preserve"> no campo </w:t>
      </w:r>
      <w:r>
        <w:t>“</w:t>
      </w:r>
      <w:r w:rsidRPr="001F58CE">
        <w:t>INFORMAÇÕES COMPLEMENTARES</w:t>
      </w:r>
      <w:r>
        <w:t>”,</w:t>
      </w:r>
      <w:r w:rsidRPr="001F58CE">
        <w:t xml:space="preserve"> a seguinte expressão: </w:t>
      </w:r>
      <w:r>
        <w:t>“Operação isenta de ICMS – Devolução obrigatória, e sem ônus, de embalagens e tampas de agrotóxicos – Convênio ICMS 42/01.” ”</w:t>
      </w: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5253E6" w:rsidRDefault="005253E6" w:rsidP="005253E6">
      <w:pPr>
        <w:ind w:firstLine="540"/>
        <w:jc w:val="both"/>
      </w:pPr>
      <w:r>
        <w:rPr>
          <w:b/>
        </w:rPr>
        <w:t>II</w:t>
      </w:r>
      <w:r>
        <w:t xml:space="preserve"> – item 17 à Tabela I do Anexo IV: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>
        <w:t>“17 – De 100 % (cem por cento)</w:t>
      </w:r>
      <w:r w:rsidRPr="00A01793">
        <w:t xml:space="preserve"> do valor do imposto devido pelas saídas internas </w:t>
      </w:r>
      <w:r>
        <w:t>de</w:t>
      </w:r>
      <w:r w:rsidRPr="00A01793">
        <w:t xml:space="preserve"> ovo </w:t>
      </w:r>
      <w:r>
        <w:t>promovidas por produtor estabelecido</w:t>
      </w:r>
      <w:r w:rsidRPr="00A01793">
        <w:t xml:space="preserve"> no estado de Rondônia. </w:t>
      </w:r>
    </w:p>
    <w:p w:rsidR="005253E6" w:rsidRDefault="005253E6" w:rsidP="005253E6">
      <w:pPr>
        <w:ind w:firstLine="540"/>
        <w:jc w:val="both"/>
      </w:pPr>
    </w:p>
    <w:p w:rsidR="005253E6" w:rsidRPr="00A01793" w:rsidRDefault="005253E6" w:rsidP="005253E6">
      <w:pPr>
        <w:ind w:firstLine="540"/>
        <w:jc w:val="both"/>
      </w:pPr>
      <w:r w:rsidRPr="00A01793">
        <w:t xml:space="preserve">Nota </w:t>
      </w:r>
      <w:r>
        <w:t>única</w:t>
      </w:r>
      <w:r w:rsidRPr="00A01793">
        <w:t xml:space="preserve">: </w:t>
      </w:r>
      <w:r w:rsidRPr="00E30C3D">
        <w:t>O benefício previsto neste item 1</w:t>
      </w:r>
      <w:r>
        <w:t>7</w:t>
      </w:r>
      <w:r w:rsidRPr="00E30C3D">
        <w:t xml:space="preserve"> é cumulativo com o aproveitamento de outros créditos relativos à entrada de mercadorias, bens ou serviços, inclusive os concedidos por Lei de Incentivo Fiscal.</w:t>
      </w:r>
      <w:r>
        <w:t>”</w:t>
      </w: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>III</w:t>
      </w:r>
      <w:r>
        <w:rPr>
          <w:color w:val="auto"/>
          <w:sz w:val="24"/>
        </w:rPr>
        <w:t xml:space="preserve"> – a </w:t>
      </w:r>
      <w:smartTag w:uri="schemas-houaiss/mini" w:element="verbetes">
        <w:r>
          <w:rPr>
            <w:color w:val="auto"/>
            <w:sz w:val="24"/>
          </w:rPr>
          <w:t>Tabela</w:t>
        </w:r>
      </w:smartTag>
      <w:r>
        <w:rPr>
          <w:color w:val="auto"/>
          <w:sz w:val="24"/>
        </w:rPr>
        <w:t xml:space="preserve"> XXIII ao </w:t>
      </w:r>
      <w:smartTag w:uri="schemas-houaiss/mini" w:element="verbetes">
        <w:r>
          <w:rPr>
            <w:color w:val="auto"/>
            <w:sz w:val="24"/>
          </w:rPr>
          <w:t>Anexo</w:t>
        </w:r>
      </w:smartTag>
      <w:r>
        <w:rPr>
          <w:color w:val="auto"/>
          <w:sz w:val="24"/>
        </w:rPr>
        <w:t xml:space="preserve"> VI:</w:t>
      </w: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</w:p>
    <w:p w:rsidR="005253E6" w:rsidRPr="00C12078" w:rsidRDefault="005253E6" w:rsidP="005253E6">
      <w:pPr>
        <w:jc w:val="center"/>
        <w:rPr>
          <w:szCs w:val="20"/>
        </w:rPr>
      </w:pPr>
      <w:r>
        <w:rPr>
          <w:szCs w:val="20"/>
        </w:rPr>
        <w:t>“TABELA XXIII</w:t>
      </w:r>
    </w:p>
    <w:p w:rsidR="005253E6" w:rsidRDefault="005253E6" w:rsidP="005253E6">
      <w:pPr>
        <w:jc w:val="center"/>
      </w:pPr>
      <w:r>
        <w:lastRenderedPageBreak/>
        <w:t>COMBUSTÍVEIS E LUBRIFICANTES, DERIVADOS OU NÃO DE PETRÓLEO, E OUTROS PRODUTOS</w:t>
      </w:r>
    </w:p>
    <w:p w:rsidR="005253E6" w:rsidRDefault="005253E6" w:rsidP="005253E6">
      <w:pPr>
        <w:jc w:val="center"/>
        <w:rPr>
          <w:szCs w:val="20"/>
        </w:rPr>
      </w:pPr>
      <w:r>
        <w:rPr>
          <w:szCs w:val="20"/>
        </w:rPr>
        <w:t>CONVÊNIO ICMS 03/99</w:t>
      </w:r>
    </w:p>
    <w:p w:rsidR="005253E6" w:rsidRPr="00914388" w:rsidRDefault="005253E6" w:rsidP="005253E6">
      <w:pPr>
        <w:pStyle w:val="L1"/>
        <w:spacing w:after="0"/>
        <w:ind w:left="0" w:firstLine="0"/>
        <w:jc w:val="center"/>
        <w:rPr>
          <w:rFonts w:ascii="Times New Roman" w:hAnsi="Times New Roman" w:cs="Times New Roman"/>
          <w:szCs w:val="20"/>
        </w:rPr>
      </w:pPr>
      <w:r w:rsidRPr="00914388">
        <w:rPr>
          <w:rFonts w:ascii="Times New Roman" w:hAnsi="Times New Roman" w:cs="Times New Roman"/>
          <w:szCs w:val="20"/>
        </w:rPr>
        <w:t xml:space="preserve"> (Artigo </w:t>
      </w:r>
      <w:r>
        <w:rPr>
          <w:rFonts w:ascii="Times New Roman" w:hAnsi="Times New Roman" w:cs="Times New Roman"/>
          <w:szCs w:val="20"/>
        </w:rPr>
        <w:t>721</w:t>
      </w:r>
      <w:r w:rsidRPr="00914388">
        <w:rPr>
          <w:rFonts w:ascii="Times New Roman" w:hAnsi="Times New Roman" w:cs="Times New Roman"/>
          <w:szCs w:val="20"/>
        </w:rPr>
        <w:t xml:space="preserve"> deste Regulamento)</w:t>
      </w:r>
    </w:p>
    <w:p w:rsidR="005253E6" w:rsidRDefault="005253E6" w:rsidP="005253E6">
      <w:pPr>
        <w:pStyle w:val="Recuodecorpodetexto"/>
        <w:widowControl/>
        <w:ind w:right="1141" w:firstLine="540"/>
        <w:rPr>
          <w:color w:val="auto"/>
          <w:sz w:val="24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2410"/>
        <w:gridCol w:w="6521"/>
      </w:tblGrid>
      <w:tr w:rsidR="005253E6" w:rsidTr="00D95BC8">
        <w:tblPrEx>
          <w:tblCellMar>
            <w:top w:w="0" w:type="dxa"/>
            <w:bottom w:w="0" w:type="dxa"/>
          </w:tblCellMar>
        </w:tblPrEx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53E6" w:rsidRPr="005A03A5" w:rsidRDefault="005253E6" w:rsidP="00D95BC8">
            <w:pPr>
              <w:pStyle w:val="L1"/>
              <w:spacing w:after="0"/>
              <w:ind w:left="0" w:firstLine="0"/>
              <w:rPr>
                <w:rFonts w:ascii="Times New Roman" w:hAnsi="Times New Roman" w:cs="Times New Roman"/>
                <w:szCs w:val="20"/>
              </w:rPr>
            </w:pPr>
            <w:r w:rsidRPr="005A03A5">
              <w:rPr>
                <w:rFonts w:ascii="Times New Roman" w:hAnsi="Times New Roman" w:cs="Times New Roman"/>
                <w:szCs w:val="20"/>
              </w:rPr>
              <w:t>1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53E6" w:rsidRPr="005A03A5" w:rsidRDefault="005253E6" w:rsidP="00D95BC8">
            <w:pPr>
              <w:pStyle w:val="L1"/>
              <w:spacing w:after="0"/>
              <w:ind w:left="0" w:firstLine="0"/>
              <w:rPr>
                <w:rFonts w:ascii="Times New Roman" w:hAnsi="Times New Roman" w:cs="Times New Roman"/>
                <w:szCs w:val="20"/>
              </w:rPr>
            </w:pPr>
            <w:r w:rsidRPr="005A03A5">
              <w:rPr>
                <w:rFonts w:ascii="Times New Roman" w:hAnsi="Times New Roman" w:cs="Times New Roman"/>
                <w:szCs w:val="20"/>
              </w:rPr>
              <w:t>Todos os Estados</w:t>
            </w:r>
          </w:p>
        </w:tc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53E6" w:rsidRPr="005A03A5" w:rsidRDefault="005253E6" w:rsidP="00D95BC8">
            <w:pPr>
              <w:pStyle w:val="L1"/>
              <w:spacing w:after="0"/>
              <w:ind w:left="0" w:firstLine="0"/>
              <w:rPr>
                <w:rFonts w:ascii="Times New Roman" w:hAnsi="Times New Roman" w:cs="Times New Roman"/>
                <w:szCs w:val="20"/>
              </w:rPr>
            </w:pPr>
            <w:r w:rsidRPr="005A03A5">
              <w:rPr>
                <w:rFonts w:ascii="Times New Roman" w:hAnsi="Times New Roman" w:cs="Times New Roman"/>
                <w:szCs w:val="20"/>
              </w:rPr>
              <w:t>Convênio ICMS</w:t>
            </w:r>
            <w:r>
              <w:rPr>
                <w:rFonts w:ascii="Times New Roman" w:hAnsi="Times New Roman" w:cs="Times New Roman"/>
                <w:szCs w:val="20"/>
              </w:rPr>
              <w:t xml:space="preserve"> 03</w:t>
            </w:r>
            <w:r w:rsidRPr="005A03A5">
              <w:rPr>
                <w:rFonts w:ascii="Times New Roman" w:hAnsi="Times New Roman" w:cs="Times New Roman"/>
                <w:szCs w:val="20"/>
              </w:rPr>
              <w:t>/</w:t>
            </w:r>
            <w:r>
              <w:rPr>
                <w:rFonts w:ascii="Times New Roman" w:hAnsi="Times New Roman" w:cs="Times New Roman"/>
                <w:szCs w:val="20"/>
              </w:rPr>
              <w:t>99</w:t>
            </w:r>
            <w:r w:rsidRPr="005A03A5">
              <w:rPr>
                <w:rFonts w:ascii="Times New Roman" w:hAnsi="Times New Roman" w:cs="Times New Roman"/>
                <w:szCs w:val="20"/>
              </w:rPr>
              <w:t xml:space="preserve">, de </w:t>
            </w:r>
            <w:r>
              <w:rPr>
                <w:rFonts w:ascii="Times New Roman" w:hAnsi="Times New Roman" w:cs="Times New Roman"/>
                <w:szCs w:val="20"/>
              </w:rPr>
              <w:t>26.04.99</w:t>
            </w:r>
            <w:r w:rsidRPr="005A03A5">
              <w:rPr>
                <w:rFonts w:ascii="Times New Roman" w:hAnsi="Times New Roman" w:cs="Times New Roman"/>
                <w:szCs w:val="20"/>
              </w:rPr>
              <w:t>,</w:t>
            </w:r>
            <w:r>
              <w:rPr>
                <w:rFonts w:ascii="Times New Roman" w:hAnsi="Times New Roman" w:cs="Times New Roman"/>
                <w:szCs w:val="20"/>
              </w:rPr>
              <w:t xml:space="preserve"> efeitos</w:t>
            </w:r>
            <w:r w:rsidRPr="005A03A5">
              <w:rPr>
                <w:rFonts w:ascii="Times New Roman" w:hAnsi="Times New Roman" w:cs="Times New Roman"/>
                <w:szCs w:val="20"/>
              </w:rPr>
              <w:t xml:space="preserve"> a partir de </w:t>
            </w:r>
            <w:r>
              <w:rPr>
                <w:rFonts w:ascii="Times New Roman" w:hAnsi="Times New Roman" w:cs="Times New Roman"/>
                <w:szCs w:val="20"/>
              </w:rPr>
              <w:t>1º.07.99</w:t>
            </w:r>
          </w:p>
        </w:tc>
      </w:tr>
    </w:tbl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”</w:t>
      </w:r>
    </w:p>
    <w:p w:rsidR="005253E6" w:rsidRDefault="005253E6" w:rsidP="005253E6">
      <w:pPr>
        <w:pStyle w:val="Recuodecorpodetexto"/>
        <w:widowControl/>
        <w:ind w:firstLine="540"/>
        <w:rPr>
          <w:b/>
          <w:color w:val="auto"/>
          <w:sz w:val="24"/>
          <w:szCs w:val="24"/>
        </w:rPr>
      </w:pPr>
    </w:p>
    <w:p w:rsidR="005253E6" w:rsidRPr="00660898" w:rsidRDefault="005253E6" w:rsidP="005253E6">
      <w:pPr>
        <w:pStyle w:val="Recuodecorpodetexto"/>
        <w:widowControl/>
        <w:ind w:firstLine="540"/>
        <w:rPr>
          <w:color w:val="FF0000"/>
          <w:sz w:val="24"/>
          <w:szCs w:val="24"/>
        </w:rPr>
      </w:pPr>
      <w:r w:rsidRPr="00F94C74">
        <w:rPr>
          <w:b/>
          <w:color w:val="auto"/>
          <w:sz w:val="24"/>
          <w:szCs w:val="24"/>
        </w:rPr>
        <w:t>I</w:t>
      </w:r>
      <w:r>
        <w:rPr>
          <w:b/>
          <w:color w:val="auto"/>
          <w:sz w:val="24"/>
          <w:szCs w:val="24"/>
        </w:rPr>
        <w:t>V</w:t>
      </w:r>
      <w:r>
        <w:rPr>
          <w:color w:val="auto"/>
          <w:sz w:val="24"/>
          <w:szCs w:val="24"/>
        </w:rPr>
        <w:t xml:space="preserve"> – as alíneas “l” e “m” ao inciso III do § 1º do artigo 723: (</w:t>
      </w:r>
      <w:proofErr w:type="spellStart"/>
      <w:r>
        <w:rPr>
          <w:color w:val="auto"/>
          <w:sz w:val="24"/>
          <w:szCs w:val="24"/>
        </w:rPr>
        <w:t>Conv</w:t>
      </w:r>
      <w:proofErr w:type="spellEnd"/>
      <w:r>
        <w:rPr>
          <w:color w:val="auto"/>
          <w:sz w:val="24"/>
          <w:szCs w:val="24"/>
        </w:rPr>
        <w:t>. ICMS 102/04)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>
        <w:t>“</w:t>
      </w:r>
      <w:r w:rsidRPr="00F94C74">
        <w:t>l) 52,94% nas operações interestaduais quando a alíquota interna do produto na unid</w:t>
      </w:r>
      <w:r>
        <w:t>ade federada de destino for 15%;</w:t>
      </w:r>
    </w:p>
    <w:p w:rsidR="005253E6" w:rsidRPr="00F94C74" w:rsidRDefault="005253E6" w:rsidP="005253E6">
      <w:pPr>
        <w:ind w:firstLine="540"/>
        <w:jc w:val="both"/>
      </w:pPr>
    </w:p>
    <w:p w:rsidR="005253E6" w:rsidRPr="00F94C74" w:rsidRDefault="005253E6" w:rsidP="005253E6">
      <w:pPr>
        <w:ind w:firstLine="540"/>
        <w:jc w:val="both"/>
      </w:pPr>
      <w:r w:rsidRPr="00F94C74">
        <w:t>m) 60,50% nas operações interestaduais quando a alíquota interna do produto na unidade federada de destino for 19%.</w:t>
      </w:r>
      <w:r>
        <w:t>”</w:t>
      </w: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5253E6" w:rsidRPr="006376F3" w:rsidRDefault="005253E6" w:rsidP="005253E6">
      <w:pPr>
        <w:pStyle w:val="Recuodecorpodetexto"/>
        <w:widowControl/>
        <w:ind w:firstLine="540"/>
        <w:rPr>
          <w:sz w:val="24"/>
          <w:szCs w:val="24"/>
        </w:rPr>
      </w:pPr>
      <w:r w:rsidRPr="006376F3">
        <w:rPr>
          <w:b/>
          <w:sz w:val="24"/>
          <w:szCs w:val="24"/>
        </w:rPr>
        <w:t xml:space="preserve">Art. </w:t>
      </w:r>
      <w:r>
        <w:rPr>
          <w:b/>
          <w:sz w:val="24"/>
          <w:szCs w:val="24"/>
        </w:rPr>
        <w:t>7</w:t>
      </w:r>
      <w:r w:rsidRPr="006376F3">
        <w:rPr>
          <w:b/>
          <w:sz w:val="24"/>
          <w:szCs w:val="24"/>
        </w:rPr>
        <w:t xml:space="preserve">º </w:t>
      </w:r>
      <w:r w:rsidRPr="006376F3">
        <w:rPr>
          <w:sz w:val="24"/>
          <w:szCs w:val="24"/>
        </w:rPr>
        <w:t>Ficam revogados</w:t>
      </w:r>
      <w:r>
        <w:rPr>
          <w:sz w:val="24"/>
          <w:szCs w:val="24"/>
        </w:rPr>
        <w:t xml:space="preserve"> os seguintes dispositivos </w:t>
      </w:r>
      <w:r w:rsidRPr="006376F3">
        <w:rPr>
          <w:sz w:val="24"/>
          <w:szCs w:val="24"/>
        </w:rPr>
        <w:t xml:space="preserve">do Regulamento do Imposto sobre Operações Relativas à Circulação de Mercadorias e sobre Prestações de Serviços de Transporte Interestadual e Intermunicipal e de Comunicação – RICMS/RO, aprovado pelo Decreto </w:t>
      </w:r>
      <w:r>
        <w:rPr>
          <w:sz w:val="24"/>
          <w:szCs w:val="24"/>
        </w:rPr>
        <w:t>nº 8321, de 30 de abril de 1998:</w:t>
      </w:r>
    </w:p>
    <w:p w:rsidR="005253E6" w:rsidRDefault="005253E6" w:rsidP="005253E6">
      <w:pPr>
        <w:pStyle w:val="Recuodecorpodetexto"/>
        <w:widowControl/>
        <w:ind w:firstLine="540"/>
        <w:rPr>
          <w:sz w:val="24"/>
          <w:szCs w:val="24"/>
        </w:rPr>
      </w:pPr>
    </w:p>
    <w:p w:rsidR="005253E6" w:rsidRDefault="005253E6" w:rsidP="005253E6">
      <w:pPr>
        <w:ind w:firstLine="540"/>
        <w:jc w:val="both"/>
      </w:pPr>
      <w:r w:rsidRPr="000823CF">
        <w:rPr>
          <w:b/>
        </w:rPr>
        <w:t xml:space="preserve">I </w:t>
      </w:r>
      <w:r>
        <w:t>– o § 14 do artigo 210;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  <w:r>
        <w:rPr>
          <w:b/>
        </w:rPr>
        <w:t>II</w:t>
      </w:r>
      <w:r>
        <w:t xml:space="preserve"> – o Anexo V-A; e</w:t>
      </w:r>
    </w:p>
    <w:p w:rsidR="005253E6" w:rsidRDefault="005253E6" w:rsidP="005253E6">
      <w:pPr>
        <w:ind w:firstLine="540"/>
        <w:jc w:val="both"/>
      </w:pPr>
    </w:p>
    <w:p w:rsidR="005253E6" w:rsidRPr="000F7F32" w:rsidRDefault="005253E6" w:rsidP="005253E6">
      <w:pPr>
        <w:ind w:firstLine="540"/>
        <w:jc w:val="both"/>
      </w:pPr>
      <w:r>
        <w:rPr>
          <w:b/>
        </w:rPr>
        <w:t>III</w:t>
      </w:r>
      <w:r>
        <w:t xml:space="preserve"> – a Tabela VI do Anexo VI.</w:t>
      </w:r>
    </w:p>
    <w:p w:rsidR="005253E6" w:rsidRDefault="005253E6" w:rsidP="005253E6">
      <w:pPr>
        <w:ind w:firstLine="540"/>
        <w:jc w:val="both"/>
      </w:pPr>
    </w:p>
    <w:p w:rsidR="005253E6" w:rsidRDefault="005253E6" w:rsidP="005253E6">
      <w:pPr>
        <w:ind w:firstLine="540"/>
        <w:jc w:val="both"/>
      </w:pPr>
    </w:p>
    <w:p w:rsidR="005253E6" w:rsidRPr="00353DCD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  <w:r w:rsidRPr="000B4DD0">
        <w:rPr>
          <w:b/>
          <w:sz w:val="24"/>
          <w:szCs w:val="24"/>
        </w:rPr>
        <w:t xml:space="preserve">Art. </w:t>
      </w:r>
      <w:r>
        <w:rPr>
          <w:b/>
          <w:sz w:val="24"/>
          <w:szCs w:val="24"/>
        </w:rPr>
        <w:t>8</w:t>
      </w:r>
      <w:r w:rsidRPr="000B4DD0">
        <w:rPr>
          <w:b/>
          <w:sz w:val="24"/>
          <w:szCs w:val="24"/>
        </w:rPr>
        <w:t>º</w:t>
      </w:r>
      <w:r>
        <w:t xml:space="preserve"> </w:t>
      </w:r>
      <w:r w:rsidRPr="00353DCD">
        <w:rPr>
          <w:color w:val="auto"/>
          <w:sz w:val="24"/>
        </w:rPr>
        <w:t xml:space="preserve">Este </w:t>
      </w:r>
      <w:smartTag w:uri="schemas-houaiss/mini" w:element="verbetes">
        <w:r w:rsidRPr="00353DCD">
          <w:rPr>
            <w:color w:val="auto"/>
            <w:sz w:val="24"/>
          </w:rPr>
          <w:t>Decreto</w:t>
        </w:r>
      </w:smartTag>
      <w:r w:rsidRPr="00353DCD">
        <w:rPr>
          <w:color w:val="auto"/>
          <w:sz w:val="24"/>
        </w:rPr>
        <w:t xml:space="preserve"> entra </w:t>
      </w:r>
      <w:smartTag w:uri="schemas-houaiss/mini" w:element="verbetes">
        <w:r w:rsidRPr="00353DCD">
          <w:rPr>
            <w:color w:val="auto"/>
            <w:sz w:val="24"/>
          </w:rPr>
          <w:t>em</w:t>
        </w:r>
      </w:smartTag>
      <w:r w:rsidRPr="00353DCD">
        <w:rPr>
          <w:color w:val="auto"/>
          <w:sz w:val="24"/>
        </w:rPr>
        <w:t xml:space="preserve"> </w:t>
      </w:r>
      <w:smartTag w:uri="schemas-houaiss/acao" w:element="dm">
        <w:r w:rsidRPr="00353DCD">
          <w:rPr>
            <w:color w:val="auto"/>
            <w:sz w:val="24"/>
          </w:rPr>
          <w:t>vigor</w:t>
        </w:r>
      </w:smartTag>
      <w:r w:rsidRPr="00353DCD">
        <w:rPr>
          <w:color w:val="auto"/>
          <w:sz w:val="24"/>
        </w:rPr>
        <w:t xml:space="preserve"> na </w:t>
      </w:r>
      <w:smartTag w:uri="schemas-houaiss/mini" w:element="verbetes">
        <w:r w:rsidRPr="00353DCD">
          <w:rPr>
            <w:color w:val="auto"/>
            <w:sz w:val="24"/>
          </w:rPr>
          <w:t>data</w:t>
        </w:r>
      </w:smartTag>
      <w:r w:rsidRPr="00353DCD">
        <w:rPr>
          <w:color w:val="auto"/>
          <w:sz w:val="24"/>
        </w:rPr>
        <w:t xml:space="preserve"> de </w:t>
      </w:r>
      <w:smartTag w:uri="schemas-houaiss/mini" w:element="verbetes">
        <w:r w:rsidRPr="00353DCD">
          <w:rPr>
            <w:color w:val="auto"/>
            <w:sz w:val="24"/>
          </w:rPr>
          <w:t>sua</w:t>
        </w:r>
      </w:smartTag>
      <w:r w:rsidRPr="00353DCD">
        <w:rPr>
          <w:color w:val="auto"/>
          <w:sz w:val="24"/>
        </w:rPr>
        <w:t xml:space="preserve"> publicação, produzindo </w:t>
      </w:r>
      <w:smartTag w:uri="schemas-houaiss/mini" w:element="verbetes">
        <w:r w:rsidRPr="00353DCD">
          <w:rPr>
            <w:color w:val="auto"/>
            <w:sz w:val="24"/>
          </w:rPr>
          <w:t>efeitos</w:t>
        </w:r>
      </w:smartTag>
      <w:r w:rsidRPr="00353DCD">
        <w:rPr>
          <w:color w:val="auto"/>
          <w:sz w:val="24"/>
        </w:rPr>
        <w:t xml:space="preserve"> a </w:t>
      </w:r>
      <w:smartTag w:uri="schemas-houaiss/acao" w:element="hm">
        <w:r w:rsidRPr="00353DCD">
          <w:rPr>
            <w:color w:val="auto"/>
            <w:sz w:val="24"/>
          </w:rPr>
          <w:t>partir</w:t>
        </w:r>
      </w:smartTag>
      <w:r w:rsidRPr="00353DCD">
        <w:rPr>
          <w:color w:val="auto"/>
          <w:sz w:val="24"/>
        </w:rPr>
        <w:t>:</w:t>
      </w:r>
    </w:p>
    <w:p w:rsidR="005253E6" w:rsidRPr="00786FFC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  <w:r w:rsidRPr="008A0749">
        <w:rPr>
          <w:b/>
          <w:color w:val="auto"/>
          <w:sz w:val="24"/>
        </w:rPr>
        <w:t>I</w:t>
      </w:r>
      <w:r w:rsidRPr="004F2512">
        <w:rPr>
          <w:color w:val="auto"/>
          <w:sz w:val="24"/>
        </w:rPr>
        <w:t xml:space="preserve"> –</w:t>
      </w:r>
      <w:r>
        <w:rPr>
          <w:color w:val="auto"/>
          <w:sz w:val="24"/>
        </w:rPr>
        <w:t xml:space="preserve"> de 26 de abril de 1999, em relação ao inciso III do artigo 7º;</w:t>
      </w: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  <w:r w:rsidRPr="008A0749">
        <w:rPr>
          <w:b/>
          <w:color w:val="auto"/>
          <w:sz w:val="24"/>
        </w:rPr>
        <w:t>II</w:t>
      </w:r>
      <w:r>
        <w:rPr>
          <w:color w:val="auto"/>
          <w:sz w:val="24"/>
        </w:rPr>
        <w:t xml:space="preserve"> – de 1º de julho de 1999, em relação ao inciso III do artigo 6º;</w:t>
      </w: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>III</w:t>
      </w:r>
      <w:r>
        <w:rPr>
          <w:color w:val="auto"/>
          <w:sz w:val="24"/>
        </w:rPr>
        <w:t xml:space="preserve"> – de 9 de agosto de 2001, em relação ao  inciso I do artigo 6º;</w:t>
      </w: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>IV</w:t>
      </w:r>
      <w:r>
        <w:rPr>
          <w:color w:val="auto"/>
          <w:sz w:val="24"/>
        </w:rPr>
        <w:t xml:space="preserve"> – de 1º de outubro de 2001, em relação ao inciso V do artigo 1º;</w:t>
      </w: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</w:p>
    <w:p w:rsidR="005253E6" w:rsidRPr="00D05FA8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>V</w:t>
      </w:r>
      <w:r>
        <w:rPr>
          <w:color w:val="auto"/>
          <w:sz w:val="24"/>
        </w:rPr>
        <w:t xml:space="preserve"> – de 1º de janeiro de 2003, em relação aos incisos XI e XII do artigo 1º;</w:t>
      </w: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>VI</w:t>
      </w:r>
      <w:r>
        <w:rPr>
          <w:color w:val="auto"/>
          <w:sz w:val="24"/>
        </w:rPr>
        <w:t xml:space="preserve"> – de 16 de outubro de 2003, em relação aos incisos III, IV, VIII, IX e X do artigo 1º, e ao inciso II do artigo 7º;</w:t>
      </w: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 xml:space="preserve">VII </w:t>
      </w:r>
      <w:r>
        <w:rPr>
          <w:color w:val="auto"/>
          <w:sz w:val="24"/>
        </w:rPr>
        <w:t>– de 30 de setembro de 2004, em relação ao inciso IV do artigo 6º;</w:t>
      </w: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lastRenderedPageBreak/>
        <w:t>VIII</w:t>
      </w:r>
      <w:r>
        <w:rPr>
          <w:color w:val="auto"/>
          <w:sz w:val="24"/>
        </w:rPr>
        <w:t xml:space="preserve"> – de 1º de janeiro de 2006, em relação ao inciso II do artigo 1º;</w:t>
      </w: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>IX</w:t>
      </w:r>
      <w:r>
        <w:rPr>
          <w:color w:val="auto"/>
          <w:sz w:val="24"/>
        </w:rPr>
        <w:t xml:space="preserve"> – de 1º de setembro de 2006, em relação ao artigo 3º;</w:t>
      </w: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</w:p>
    <w:p w:rsidR="005253E6" w:rsidRPr="00F36906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>X</w:t>
      </w:r>
      <w:r>
        <w:rPr>
          <w:color w:val="auto"/>
          <w:sz w:val="24"/>
        </w:rPr>
        <w:t xml:space="preserve"> – de 1º de novembro de 2006, em relação aos demais dispositivos.</w:t>
      </w:r>
    </w:p>
    <w:p w:rsidR="005253E6" w:rsidRDefault="005253E6" w:rsidP="005253E6">
      <w:pPr>
        <w:pStyle w:val="Recuodecorpodetexto"/>
        <w:widowControl/>
        <w:ind w:firstLine="540"/>
        <w:rPr>
          <w:color w:val="auto"/>
          <w:sz w:val="24"/>
        </w:rPr>
      </w:pPr>
    </w:p>
    <w:p w:rsidR="005253E6" w:rsidRPr="009C4ED0" w:rsidRDefault="005253E6" w:rsidP="005253E6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5253E6" w:rsidRPr="009C4ED0" w:rsidRDefault="005253E6" w:rsidP="005253E6">
      <w:pPr>
        <w:pStyle w:val="Recuodecorpodetexto"/>
        <w:widowControl/>
        <w:ind w:firstLine="540"/>
        <w:rPr>
          <w:color w:val="auto"/>
          <w:sz w:val="24"/>
          <w:szCs w:val="24"/>
        </w:rPr>
      </w:pPr>
      <w:smartTag w:uri="schemas-houaiss/acao" w:element="dm">
        <w:r w:rsidRPr="009C4ED0">
          <w:rPr>
            <w:color w:val="auto"/>
            <w:sz w:val="24"/>
            <w:szCs w:val="24"/>
          </w:rPr>
          <w:t>Palácio</w:t>
        </w:r>
      </w:smartTag>
      <w:r w:rsidRPr="009C4ED0">
        <w:rPr>
          <w:color w:val="auto"/>
          <w:sz w:val="24"/>
          <w:szCs w:val="24"/>
        </w:rPr>
        <w:t xml:space="preserve"> do </w:t>
      </w:r>
      <w:smartTag w:uri="schemas-houaiss/mini" w:element="verbetes">
        <w:r w:rsidRPr="009C4ED0">
          <w:rPr>
            <w:color w:val="auto"/>
            <w:sz w:val="24"/>
            <w:szCs w:val="24"/>
          </w:rPr>
          <w:t>Governo</w:t>
        </w:r>
      </w:smartTag>
      <w:r w:rsidRPr="009C4ED0">
        <w:rPr>
          <w:color w:val="auto"/>
          <w:sz w:val="24"/>
          <w:szCs w:val="24"/>
        </w:rPr>
        <w:t xml:space="preserve"> do </w:t>
      </w:r>
      <w:smartTag w:uri="schemas-houaiss/mini" w:element="verbetes">
        <w:r w:rsidRPr="009C4ED0">
          <w:rPr>
            <w:color w:val="auto"/>
            <w:sz w:val="24"/>
            <w:szCs w:val="24"/>
          </w:rPr>
          <w:t>Estado</w:t>
        </w:r>
      </w:smartTag>
      <w:r w:rsidRPr="009C4ED0">
        <w:rPr>
          <w:color w:val="auto"/>
          <w:sz w:val="24"/>
          <w:szCs w:val="24"/>
        </w:rPr>
        <w:t xml:space="preserve"> de Rondônia, </w:t>
      </w:r>
      <w:smartTag w:uri="schemas-houaiss/mini" w:element="verbetes">
        <w:r w:rsidRPr="009C4ED0">
          <w:rPr>
            <w:color w:val="auto"/>
            <w:sz w:val="24"/>
            <w:szCs w:val="24"/>
          </w:rPr>
          <w:t>em</w:t>
        </w:r>
      </w:smartTag>
      <w:r w:rsidRPr="009C4ED0">
        <w:rPr>
          <w:color w:val="auto"/>
          <w:sz w:val="24"/>
          <w:szCs w:val="24"/>
        </w:rPr>
        <w:t xml:space="preserve"> </w:t>
      </w:r>
      <w:r>
        <w:rPr>
          <w:color w:val="auto"/>
          <w:sz w:val="24"/>
          <w:szCs w:val="24"/>
        </w:rPr>
        <w:t>30</w:t>
      </w:r>
      <w:r w:rsidRPr="009C4ED0">
        <w:rPr>
          <w:color w:val="auto"/>
          <w:sz w:val="24"/>
          <w:szCs w:val="24"/>
        </w:rPr>
        <w:t xml:space="preserve"> de </w:t>
      </w:r>
      <w:r>
        <w:rPr>
          <w:color w:val="auto"/>
          <w:sz w:val="24"/>
          <w:szCs w:val="24"/>
        </w:rPr>
        <w:t xml:space="preserve">outubro </w:t>
      </w:r>
      <w:r w:rsidRPr="009C4ED0">
        <w:rPr>
          <w:color w:val="auto"/>
          <w:sz w:val="24"/>
          <w:szCs w:val="24"/>
        </w:rPr>
        <w:t xml:space="preserve">de 2006, 118º da </w:t>
      </w:r>
      <w:smartTag w:uri="schemas-houaiss/mini" w:element="verbetes">
        <w:r w:rsidRPr="009C4ED0">
          <w:rPr>
            <w:color w:val="auto"/>
            <w:sz w:val="24"/>
            <w:szCs w:val="24"/>
          </w:rPr>
          <w:t>República</w:t>
        </w:r>
      </w:smartTag>
      <w:r w:rsidRPr="009C4ED0">
        <w:rPr>
          <w:color w:val="auto"/>
          <w:sz w:val="24"/>
          <w:szCs w:val="24"/>
        </w:rPr>
        <w:t>.</w:t>
      </w:r>
    </w:p>
    <w:p w:rsidR="005253E6" w:rsidRPr="009C4ED0" w:rsidRDefault="005253E6" w:rsidP="005253E6">
      <w:pPr>
        <w:jc w:val="both"/>
        <w:rPr>
          <w:bCs/>
        </w:rPr>
      </w:pPr>
    </w:p>
    <w:p w:rsidR="005253E6" w:rsidRPr="009C4ED0" w:rsidRDefault="005253E6" w:rsidP="005253E6">
      <w:pPr>
        <w:jc w:val="both"/>
        <w:rPr>
          <w:bCs/>
        </w:rPr>
      </w:pPr>
    </w:p>
    <w:p w:rsidR="005253E6" w:rsidRPr="009C4ED0" w:rsidRDefault="005253E6" w:rsidP="005253E6">
      <w:pPr>
        <w:jc w:val="both"/>
        <w:rPr>
          <w:bCs/>
        </w:rPr>
      </w:pPr>
    </w:p>
    <w:p w:rsidR="005253E6" w:rsidRPr="009C4ED0" w:rsidRDefault="005253E6" w:rsidP="005253E6">
      <w:pPr>
        <w:jc w:val="center"/>
        <w:rPr>
          <w:b/>
        </w:rPr>
      </w:pPr>
      <w:r w:rsidRPr="009C4ED0">
        <w:rPr>
          <w:b/>
        </w:rPr>
        <w:t xml:space="preserve">IVO </w:t>
      </w:r>
      <w:smartTag w:uri="schemas-houaiss/mini" w:element="verbetes">
        <w:r w:rsidRPr="009C4ED0">
          <w:rPr>
            <w:b/>
          </w:rPr>
          <w:t>NARCISO</w:t>
        </w:r>
      </w:smartTag>
      <w:r w:rsidRPr="009C4ED0">
        <w:rPr>
          <w:b/>
        </w:rPr>
        <w:t xml:space="preserve"> CASSOL</w:t>
      </w:r>
    </w:p>
    <w:p w:rsidR="005253E6" w:rsidRPr="009C4ED0" w:rsidRDefault="005253E6" w:rsidP="005253E6">
      <w:pPr>
        <w:jc w:val="center"/>
        <w:rPr>
          <w:b/>
        </w:rPr>
      </w:pPr>
      <w:smartTag w:uri="schemas-houaiss/mini" w:element="verbetes">
        <w:r w:rsidRPr="009C4ED0">
          <w:rPr>
            <w:b/>
          </w:rPr>
          <w:t>Governador</w:t>
        </w:r>
      </w:smartTag>
    </w:p>
    <w:p w:rsidR="005253E6" w:rsidRPr="009C4ED0" w:rsidRDefault="005253E6" w:rsidP="005253E6">
      <w:pPr>
        <w:jc w:val="both"/>
        <w:rPr>
          <w:bCs/>
        </w:rPr>
      </w:pPr>
    </w:p>
    <w:p w:rsidR="005253E6" w:rsidRPr="009C4ED0" w:rsidRDefault="005253E6" w:rsidP="005253E6">
      <w:pPr>
        <w:jc w:val="both"/>
        <w:rPr>
          <w:bCs/>
        </w:rPr>
      </w:pPr>
    </w:p>
    <w:p w:rsidR="005253E6" w:rsidRPr="009C4ED0" w:rsidRDefault="005253E6" w:rsidP="005253E6">
      <w:pPr>
        <w:jc w:val="both"/>
        <w:rPr>
          <w:bCs/>
        </w:rPr>
      </w:pPr>
    </w:p>
    <w:p w:rsidR="005253E6" w:rsidRPr="009C4ED0" w:rsidRDefault="005253E6" w:rsidP="005253E6">
      <w:pPr>
        <w:jc w:val="center"/>
        <w:rPr>
          <w:b/>
        </w:rPr>
      </w:pPr>
      <w:r w:rsidRPr="009C4ED0">
        <w:rPr>
          <w:b/>
        </w:rPr>
        <w:t>JOSÉ GENARO DE ANDRADE</w:t>
      </w:r>
    </w:p>
    <w:p w:rsidR="005253E6" w:rsidRPr="009C4ED0" w:rsidRDefault="005253E6" w:rsidP="005253E6">
      <w:pPr>
        <w:jc w:val="center"/>
        <w:rPr>
          <w:b/>
        </w:rPr>
      </w:pPr>
      <w:smartTag w:uri="schemas-houaiss/mini" w:element="verbetes">
        <w:r w:rsidRPr="009C4ED0">
          <w:rPr>
            <w:b/>
          </w:rPr>
          <w:t>Secretário</w:t>
        </w:r>
      </w:smartTag>
      <w:r w:rsidRPr="009C4ED0">
        <w:rPr>
          <w:b/>
        </w:rPr>
        <w:t xml:space="preserve"> de </w:t>
      </w:r>
      <w:smartTag w:uri="schemas-houaiss/mini" w:element="verbetes">
        <w:r w:rsidRPr="009C4ED0">
          <w:rPr>
            <w:b/>
          </w:rPr>
          <w:t>Estado</w:t>
        </w:r>
      </w:smartTag>
      <w:r w:rsidRPr="009C4ED0">
        <w:rPr>
          <w:b/>
        </w:rPr>
        <w:t xml:space="preserve"> de Finanças</w:t>
      </w:r>
    </w:p>
    <w:p w:rsidR="005253E6" w:rsidRPr="009C4ED0" w:rsidRDefault="005253E6" w:rsidP="005253E6">
      <w:pPr>
        <w:jc w:val="both"/>
        <w:rPr>
          <w:bCs/>
        </w:rPr>
      </w:pPr>
    </w:p>
    <w:p w:rsidR="005253E6" w:rsidRPr="009C4ED0" w:rsidRDefault="005253E6" w:rsidP="005253E6">
      <w:pPr>
        <w:jc w:val="both"/>
        <w:rPr>
          <w:bCs/>
        </w:rPr>
      </w:pPr>
    </w:p>
    <w:p w:rsidR="005253E6" w:rsidRPr="009C4ED0" w:rsidRDefault="005253E6" w:rsidP="005253E6">
      <w:pPr>
        <w:jc w:val="both"/>
        <w:rPr>
          <w:bCs/>
        </w:rPr>
      </w:pPr>
    </w:p>
    <w:p w:rsidR="005253E6" w:rsidRPr="009C4ED0" w:rsidRDefault="005253E6" w:rsidP="005253E6">
      <w:pPr>
        <w:jc w:val="center"/>
        <w:rPr>
          <w:b/>
        </w:rPr>
      </w:pPr>
      <w:r w:rsidRPr="009C4ED0">
        <w:rPr>
          <w:b/>
        </w:rPr>
        <w:t>CIRO MUNEO FUNADA</w:t>
      </w:r>
    </w:p>
    <w:p w:rsidR="005253E6" w:rsidRPr="009C4ED0" w:rsidRDefault="005253E6" w:rsidP="005253E6">
      <w:pPr>
        <w:jc w:val="center"/>
      </w:pPr>
      <w:r w:rsidRPr="009C4ED0">
        <w:rPr>
          <w:b/>
        </w:rPr>
        <w:t xml:space="preserve">Coordenador-Geral da </w:t>
      </w:r>
      <w:smartTag w:uri="schemas-houaiss/mini" w:element="verbetes">
        <w:r w:rsidRPr="009C4ED0">
          <w:rPr>
            <w:b/>
          </w:rPr>
          <w:t>Receita</w:t>
        </w:r>
      </w:smartTag>
      <w:r w:rsidRPr="009C4ED0">
        <w:rPr>
          <w:b/>
        </w:rPr>
        <w:t xml:space="preserve"> Estadual</w:t>
      </w:r>
    </w:p>
    <w:p w:rsidR="006F646C" w:rsidRDefault="005253E6"/>
    <w:sectPr w:rsidR="006F646C" w:rsidSect="009969B4">
      <w:headerReference w:type="default" r:id="rId4"/>
      <w:footerReference w:type="even" r:id="rId5"/>
      <w:footerReference w:type="default" r:id="rId6"/>
      <w:pgSz w:w="11907" w:h="16840" w:code="9"/>
      <w:pgMar w:top="1134" w:right="851" w:bottom="1134" w:left="1134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tter Gothic"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4D94" w:rsidRDefault="005253E6" w:rsidP="00984B72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E94D94" w:rsidRDefault="005253E6">
    <w:pPr>
      <w:pStyle w:val="Rodap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4D94" w:rsidRDefault="005253E6" w:rsidP="00984B72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</w:instrText>
    </w:r>
    <w:r>
      <w:rPr>
        <w:rStyle w:val="Nmerodepgina"/>
      </w:rPr>
      <w:instrText xml:space="preserve">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E94D94" w:rsidRDefault="005253E6">
    <w:pPr>
      <w:pStyle w:val="Rodap"/>
      <w:ind w:right="360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4D94" w:rsidRDefault="005253E6">
    <w:pPr>
      <w:pStyle w:val="Cabealho"/>
      <w:ind w:right="360"/>
      <w:jc w:val="center"/>
    </w:pPr>
    <w:r>
      <w:object w:dxaOrig="1090" w:dyaOrig="153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0.3pt;height:80.75pt" o:ole="" fillcolor="window">
          <v:imagedata r:id="rId1" o:title=""/>
        </v:shape>
        <o:OLEObject Type="Embed" ProgID="Word.Picture.8" ShapeID="_x0000_i1025" DrawAspect="Content" ObjectID="_1551508760" r:id="rId2"/>
      </w:object>
    </w:r>
  </w:p>
  <w:p w:rsidR="00E94D94" w:rsidRPr="00B11036" w:rsidRDefault="005253E6">
    <w:pPr>
      <w:pStyle w:val="Cabealho"/>
      <w:jc w:val="center"/>
      <w:rPr>
        <w:b/>
        <w:sz w:val="28"/>
        <w:szCs w:val="28"/>
      </w:rPr>
    </w:pPr>
    <w:r w:rsidRPr="00B11036">
      <w:rPr>
        <w:b/>
        <w:sz w:val="28"/>
        <w:szCs w:val="28"/>
      </w:rPr>
      <w:t>GOVERNO DO ESTADO DE RONDÔNIA</w:t>
    </w:r>
  </w:p>
  <w:p w:rsidR="00E94D94" w:rsidRPr="00B54287" w:rsidRDefault="005253E6">
    <w:pPr>
      <w:pStyle w:val="Ttulo4"/>
      <w:rPr>
        <w:sz w:val="26"/>
        <w:szCs w:val="26"/>
      </w:rPr>
    </w:pPr>
    <w:r w:rsidRPr="00B11036">
      <w:rPr>
        <w:szCs w:val="28"/>
      </w:rPr>
      <w:t>GOVERNADORIA</w:t>
    </w:r>
  </w:p>
  <w:p w:rsidR="00E94D94" w:rsidRPr="00C5748E" w:rsidRDefault="005253E6" w:rsidP="00984B72">
    <w:pPr>
      <w:pStyle w:val="Cabealho"/>
      <w:jc w:val="center"/>
      <w:rPr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proofState w:spelling="clean"/>
  <w:defaultTabStop w:val="708"/>
  <w:hyphenationZone w:val="425"/>
  <w:characterSpacingControl w:val="doNotCompress"/>
  <w:compat/>
  <w:rsids>
    <w:rsidRoot w:val="005253E6"/>
    <w:rsid w:val="0000472A"/>
    <w:rsid w:val="005253E6"/>
    <w:rsid w:val="00726B65"/>
    <w:rsid w:val="00B63379"/>
    <w:rsid w:val="00D30D20"/>
    <w:rsid w:val="00D55E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schemas-houaiss/acao" w:name="hm"/>
  <w:smartTagType w:namespaceuri="urn:schemas-microsoft-com:office:smarttags" w:name="PersonName"/>
  <w:smartTagType w:namespaceuri="urn:schemas-microsoft-com:office:smarttags" w:name="metricconverter"/>
  <w:smartTagType w:namespaceuri="schemas-houaiss/acao" w:name="dm"/>
  <w:smartTagType w:namespaceuri="schemas-houaiss/mini" w:name="verbetes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53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3">
    <w:name w:val="heading 3"/>
    <w:basedOn w:val="Normal"/>
    <w:next w:val="Normal"/>
    <w:link w:val="Ttulo3Char"/>
    <w:qFormat/>
    <w:rsid w:val="005253E6"/>
    <w:pPr>
      <w:keepNext/>
      <w:ind w:firstLine="540"/>
      <w:jc w:val="both"/>
      <w:outlineLvl w:val="2"/>
    </w:pPr>
    <w:rPr>
      <w:b/>
      <w:bCs/>
    </w:rPr>
  </w:style>
  <w:style w:type="paragraph" w:styleId="Ttulo4">
    <w:name w:val="heading 4"/>
    <w:basedOn w:val="Normal"/>
    <w:next w:val="Normal"/>
    <w:link w:val="Ttulo4Char"/>
    <w:qFormat/>
    <w:rsid w:val="005253E6"/>
    <w:pPr>
      <w:keepNext/>
      <w:jc w:val="center"/>
      <w:outlineLvl w:val="3"/>
    </w:pPr>
    <w:rPr>
      <w:b/>
      <w:sz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3Char">
    <w:name w:val="Título 3 Char"/>
    <w:basedOn w:val="Fontepargpadro"/>
    <w:link w:val="Ttulo3"/>
    <w:rsid w:val="005253E6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character" w:customStyle="1" w:styleId="Ttulo4Char">
    <w:name w:val="Título 4 Char"/>
    <w:basedOn w:val="Fontepargpadro"/>
    <w:link w:val="Ttulo4"/>
    <w:rsid w:val="005253E6"/>
    <w:rPr>
      <w:rFonts w:ascii="Times New Roman" w:eastAsia="Times New Roman" w:hAnsi="Times New Roman" w:cs="Times New Roman"/>
      <w:b/>
      <w:sz w:val="28"/>
      <w:szCs w:val="24"/>
      <w:lang w:eastAsia="pt-BR"/>
    </w:rPr>
  </w:style>
  <w:style w:type="paragraph" w:styleId="Recuodecorpodetexto">
    <w:name w:val="Body Text Indent"/>
    <w:basedOn w:val="Normal"/>
    <w:link w:val="RecuodecorpodetextoChar"/>
    <w:rsid w:val="005253E6"/>
    <w:pPr>
      <w:widowControl w:val="0"/>
      <w:jc w:val="both"/>
    </w:pPr>
    <w:rPr>
      <w:color w:val="000000"/>
      <w:sz w:val="20"/>
      <w:szCs w:val="20"/>
    </w:rPr>
  </w:style>
  <w:style w:type="character" w:customStyle="1" w:styleId="RecuodecorpodetextoChar">
    <w:name w:val="Recuo de corpo de texto Char"/>
    <w:basedOn w:val="Fontepargpadro"/>
    <w:link w:val="Recuodecorpodetexto"/>
    <w:rsid w:val="005253E6"/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  <w:style w:type="paragraph" w:styleId="Cabealho">
    <w:name w:val="header"/>
    <w:basedOn w:val="Normal"/>
    <w:link w:val="CabealhoChar"/>
    <w:rsid w:val="005253E6"/>
    <w:pPr>
      <w:tabs>
        <w:tab w:val="center" w:pos="4419"/>
        <w:tab w:val="right" w:pos="8838"/>
      </w:tabs>
    </w:pPr>
    <w:rPr>
      <w:sz w:val="20"/>
      <w:szCs w:val="20"/>
    </w:rPr>
  </w:style>
  <w:style w:type="character" w:customStyle="1" w:styleId="CabealhoChar">
    <w:name w:val="Cabeçalho Char"/>
    <w:basedOn w:val="Fontepargpadro"/>
    <w:link w:val="Cabealho"/>
    <w:rsid w:val="005253E6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Rodap">
    <w:name w:val="footer"/>
    <w:basedOn w:val="Normal"/>
    <w:link w:val="RodapChar"/>
    <w:rsid w:val="005253E6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rsid w:val="005253E6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merodepgina">
    <w:name w:val="page number"/>
    <w:basedOn w:val="Fontepargpadro"/>
    <w:rsid w:val="005253E6"/>
  </w:style>
  <w:style w:type="paragraph" w:customStyle="1" w:styleId="BodyText21">
    <w:name w:val="Body Text 21"/>
    <w:basedOn w:val="Normal"/>
    <w:rsid w:val="005253E6"/>
    <w:pPr>
      <w:widowControl w:val="0"/>
      <w:ind w:right="-426" w:firstLine="1418"/>
      <w:jc w:val="both"/>
    </w:pPr>
    <w:rPr>
      <w:szCs w:val="20"/>
    </w:rPr>
  </w:style>
  <w:style w:type="paragraph" w:customStyle="1" w:styleId="BlockText">
    <w:name w:val="Block Text"/>
    <w:basedOn w:val="Normal"/>
    <w:rsid w:val="005253E6"/>
    <w:pPr>
      <w:widowControl w:val="0"/>
      <w:ind w:left="355" w:right="135" w:hanging="355"/>
      <w:jc w:val="both"/>
    </w:pPr>
    <w:rPr>
      <w:rFonts w:ascii="Arial" w:hAnsi="Arial"/>
      <w:sz w:val="16"/>
      <w:szCs w:val="20"/>
      <w:u w:val="single"/>
    </w:rPr>
  </w:style>
  <w:style w:type="paragraph" w:customStyle="1" w:styleId="L1">
    <w:name w:val="L1"/>
    <w:rsid w:val="005253E6"/>
    <w:pPr>
      <w:tabs>
        <w:tab w:val="left" w:pos="1008"/>
        <w:tab w:val="left" w:pos="4464"/>
      </w:tabs>
      <w:autoSpaceDE w:val="0"/>
      <w:autoSpaceDN w:val="0"/>
      <w:spacing w:after="240" w:line="240" w:lineRule="auto"/>
      <w:ind w:left="4464" w:hanging="4464"/>
      <w:jc w:val="both"/>
    </w:pPr>
    <w:rPr>
      <w:rFonts w:ascii="Letter Gothic" w:eastAsia="Times New Roman" w:hAnsi="Letter Gothic" w:cs="Letter Gothic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2384</Words>
  <Characters>12878</Characters>
  <Application>Microsoft Office Word</Application>
  <DocSecurity>0</DocSecurity>
  <Lines>107</Lines>
  <Paragraphs>30</Paragraphs>
  <ScaleCrop>false</ScaleCrop>
  <Company/>
  <LinksUpToDate>false</LinksUpToDate>
  <CharactersWithSpaces>15232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300024155</dc:creator>
  <cp:lastModifiedBy>300024155</cp:lastModifiedBy>
  <cp:revision>1</cp:revision>
  <dcterms:created xsi:type="dcterms:W3CDTF">2017-03-20T13:52:00Z</dcterms:created>
  <dcterms:modified xsi:type="dcterms:W3CDTF">2017-03-20T13:53:00Z</dcterms:modified>
</cp:coreProperties>
</file>