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F0C" w:rsidRDefault="00700F0C" w:rsidP="00700F0C">
      <w:pPr>
        <w:pStyle w:val="Ttulo3"/>
        <w:ind w:firstLine="0"/>
      </w:pPr>
      <w:r>
        <w:t>DECRETO Nº 11429, DE 16 DE DEZEMBRO DE 2004</w:t>
      </w:r>
    </w:p>
    <w:p w:rsidR="00700F0C" w:rsidRDefault="00700F0C" w:rsidP="00700F0C">
      <w:pPr>
        <w:pStyle w:val="Ttulo3"/>
        <w:ind w:firstLine="0"/>
      </w:pPr>
      <w:r>
        <w:t>PUBLICADO NO DOE Nº 0173, DE 21.12.04</w:t>
      </w:r>
    </w:p>
    <w:p w:rsidR="00700F0C" w:rsidRDefault="00700F0C" w:rsidP="00700F0C">
      <w:pPr>
        <w:pStyle w:val="Recuodecorpodetexto3"/>
        <w:ind w:left="0"/>
        <w:rPr>
          <w:rFonts w:ascii="Times New Roman" w:hAnsi="Times New Roman"/>
          <w:spacing w:val="0"/>
        </w:rPr>
      </w:pPr>
    </w:p>
    <w:p w:rsidR="00700F0C" w:rsidRDefault="00700F0C" w:rsidP="00700F0C">
      <w:pPr>
        <w:pStyle w:val="Recuodecorpodetexto3"/>
        <w:ind w:left="0"/>
        <w:rPr>
          <w:rFonts w:ascii="Times New Roman" w:hAnsi="Times New Roman"/>
          <w:spacing w:val="0"/>
        </w:rPr>
      </w:pPr>
    </w:p>
    <w:p w:rsidR="00700F0C" w:rsidRDefault="00700F0C" w:rsidP="00700F0C">
      <w:pPr>
        <w:pStyle w:val="Recuodecorpodetexto3"/>
        <w:ind w:left="0"/>
        <w:rPr>
          <w:rFonts w:ascii="Times New Roman" w:hAnsi="Times New Roman"/>
          <w:spacing w:val="0"/>
        </w:rPr>
      </w:pPr>
    </w:p>
    <w:p w:rsidR="00700F0C" w:rsidRDefault="00700F0C" w:rsidP="00700F0C">
      <w:pPr>
        <w:pStyle w:val="Recuodecorpodetexto"/>
        <w:widowControl/>
        <w:ind w:left="5220"/>
        <w:rPr>
          <w:color w:val="auto"/>
          <w:sz w:val="24"/>
        </w:rPr>
      </w:pPr>
      <w:r>
        <w:rPr>
          <w:color w:val="auto"/>
          <w:sz w:val="24"/>
        </w:rPr>
        <w:t>Altera o Decreto nº 11140, de 21 de julho de 2004, que instituiu o “Antecipado”, e dá outras providências correlatas</w:t>
      </w:r>
    </w:p>
    <w:p w:rsidR="00700F0C" w:rsidRDefault="00700F0C" w:rsidP="00700F0C">
      <w:pPr>
        <w:jc w:val="both"/>
      </w:pPr>
    </w:p>
    <w:p w:rsidR="00700F0C" w:rsidRDefault="00700F0C" w:rsidP="00700F0C">
      <w:pPr>
        <w:jc w:val="both"/>
      </w:pPr>
    </w:p>
    <w:p w:rsidR="00700F0C" w:rsidRDefault="00700F0C" w:rsidP="00700F0C">
      <w:pPr>
        <w:jc w:val="both"/>
      </w:pPr>
    </w:p>
    <w:p w:rsidR="00700F0C" w:rsidRDefault="00700F0C" w:rsidP="00700F0C">
      <w:pPr>
        <w:ind w:firstLine="540"/>
        <w:jc w:val="both"/>
      </w:pPr>
      <w:r>
        <w:t xml:space="preserve">O </w:t>
      </w:r>
      <w:r>
        <w:rPr>
          <w:b/>
        </w:rPr>
        <w:t>GOVERNADOR DO ESTADO DE RONDÔNIA,</w:t>
      </w:r>
      <w:r>
        <w:t xml:space="preserve"> no uso das atribuições que lhe confere o artigo 65, inciso V, da Constituição Estadual;</w:t>
      </w:r>
    </w:p>
    <w:p w:rsidR="00700F0C" w:rsidRDefault="00700F0C" w:rsidP="00700F0C">
      <w:pPr>
        <w:ind w:firstLine="540"/>
        <w:jc w:val="both"/>
      </w:pPr>
    </w:p>
    <w:p w:rsidR="00700F0C" w:rsidRPr="00556A62" w:rsidRDefault="00700F0C" w:rsidP="00700F0C">
      <w:pPr>
        <w:ind w:firstLine="540"/>
        <w:jc w:val="both"/>
      </w:pPr>
      <w:r>
        <w:rPr>
          <w:b/>
        </w:rPr>
        <w:t>CONSIDERANDO</w:t>
      </w:r>
      <w:r>
        <w:t xml:space="preserve"> a aquisição majoritária e preponderante de bens destinados a ativo permanente pelos prestadores de serviço de telecomunicação estabelecidos no estado;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700F0C" w:rsidRDefault="00700F0C" w:rsidP="00700F0C">
      <w:pPr>
        <w:ind w:firstLine="540"/>
        <w:jc w:val="both"/>
      </w:pPr>
      <w:r>
        <w:rPr>
          <w:b/>
        </w:rPr>
        <w:t>CONSIDERANDO</w:t>
      </w:r>
      <w:r>
        <w:t xml:space="preserve"> que o cálculo dos percentuais de antecipação utilizados na cobrança do “Antecipado” tomou em conta a realização prioritária de operações internas; e</w:t>
      </w:r>
    </w:p>
    <w:p w:rsidR="00700F0C" w:rsidRDefault="00700F0C" w:rsidP="00700F0C">
      <w:pPr>
        <w:ind w:firstLine="540"/>
        <w:jc w:val="both"/>
      </w:pPr>
    </w:p>
    <w:p w:rsidR="00700F0C" w:rsidRDefault="00700F0C" w:rsidP="00700F0C">
      <w:pPr>
        <w:ind w:firstLine="540"/>
        <w:jc w:val="both"/>
      </w:pPr>
      <w:r>
        <w:rPr>
          <w:b/>
        </w:rPr>
        <w:t>CONSIDERANDO</w:t>
      </w:r>
      <w:r>
        <w:t xml:space="preserve"> a concentração de vencimentos de impostos e outras despesas correntes dos contribuintes deste estado nos dias 15 e 30 de cada mês:</w:t>
      </w:r>
    </w:p>
    <w:p w:rsidR="00700F0C" w:rsidRDefault="00700F0C" w:rsidP="00700F0C">
      <w:pPr>
        <w:ind w:firstLine="540"/>
        <w:jc w:val="both"/>
      </w:pPr>
    </w:p>
    <w:p w:rsidR="00700F0C" w:rsidRPr="00230E91" w:rsidRDefault="00700F0C" w:rsidP="00700F0C">
      <w:pPr>
        <w:ind w:firstLine="540"/>
        <w:jc w:val="both"/>
      </w:pPr>
    </w:p>
    <w:p w:rsidR="00700F0C" w:rsidRPr="00996C1A" w:rsidRDefault="00700F0C" w:rsidP="00700F0C">
      <w:pPr>
        <w:jc w:val="center"/>
        <w:rPr>
          <w:b/>
        </w:rPr>
      </w:pPr>
      <w:r w:rsidRPr="00996C1A">
        <w:rPr>
          <w:b/>
        </w:rPr>
        <w:t>D E C R E T A</w:t>
      </w:r>
    </w:p>
    <w:p w:rsidR="00700F0C" w:rsidRDefault="00700F0C" w:rsidP="00700F0C">
      <w:pPr>
        <w:ind w:firstLine="540"/>
        <w:jc w:val="both"/>
      </w:pPr>
    </w:p>
    <w:p w:rsidR="00700F0C" w:rsidRPr="00230E91" w:rsidRDefault="00700F0C" w:rsidP="00700F0C">
      <w:pPr>
        <w:ind w:firstLine="540"/>
        <w:jc w:val="both"/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Art. 1º</w:t>
      </w:r>
      <w:r>
        <w:rPr>
          <w:color w:val="auto"/>
          <w:sz w:val="24"/>
        </w:rPr>
        <w:t xml:space="preserve"> Ficam acrescentados os dispositivos adiante enumerados ao Decreto nº 11140, de 21 de julho de 2004: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 w:rsidRPr="00996C1A">
        <w:rPr>
          <w:b/>
          <w:color w:val="auto"/>
          <w:sz w:val="24"/>
        </w:rPr>
        <w:t>I</w:t>
      </w:r>
      <w:r>
        <w:rPr>
          <w:color w:val="auto"/>
          <w:sz w:val="24"/>
        </w:rPr>
        <w:t xml:space="preserve"> – o inciso IX ao artigo 2º: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“IX – destinadas a empresas prestadoras de serviço de telecomunicação que cumpram regularmente o disposto na </w:t>
      </w:r>
      <w:r>
        <w:rPr>
          <w:sz w:val="24"/>
          <w:szCs w:val="24"/>
        </w:rPr>
        <w:t xml:space="preserve">Instrução Normativa nº 002/02/GAB/CRE, de 23 de maio de 2002, e no </w:t>
      </w:r>
      <w:r>
        <w:rPr>
          <w:color w:val="auto"/>
          <w:sz w:val="24"/>
        </w:rPr>
        <w:t>artigo 370-H do RICMS/RO; ou”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Pr="00FB0088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II</w:t>
      </w:r>
      <w:r>
        <w:rPr>
          <w:color w:val="auto"/>
          <w:sz w:val="24"/>
        </w:rPr>
        <w:t xml:space="preserve"> – o inciso X ao artigo 2º: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“X – destinadas a contribuintes dispensados na forma do artigo 2º-A.”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 w:rsidRPr="00996C1A">
        <w:rPr>
          <w:b/>
          <w:color w:val="auto"/>
          <w:sz w:val="24"/>
        </w:rPr>
        <w:t>I</w:t>
      </w:r>
      <w:r>
        <w:rPr>
          <w:b/>
          <w:color w:val="auto"/>
          <w:sz w:val="24"/>
        </w:rPr>
        <w:t>I</w:t>
      </w:r>
      <w:r w:rsidRPr="00996C1A">
        <w:rPr>
          <w:b/>
          <w:color w:val="auto"/>
          <w:sz w:val="24"/>
        </w:rPr>
        <w:t>I</w:t>
      </w:r>
      <w:r>
        <w:rPr>
          <w:color w:val="auto"/>
          <w:sz w:val="24"/>
        </w:rPr>
        <w:t xml:space="preserve"> – o artigo 2º-A: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“Art. 2º-A. Terão direito à dispensa da cobrança do imposto na forma deste Decreto os contribuintes cuja participação das seguintes saídas sobre o total de saídas realizadas seja superior a: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lastRenderedPageBreak/>
        <w:t xml:space="preserve">I – 30% (trinta por cento), consideradas as saídas para o exterior, diretas ou por meio de intermediários, excluídas as realizadas por estabelecimento localizado na Área de Livre Comércio de </w:t>
      </w:r>
      <w:proofErr w:type="spellStart"/>
      <w:r>
        <w:rPr>
          <w:color w:val="auto"/>
          <w:sz w:val="24"/>
        </w:rPr>
        <w:t>Guajará-Mirim</w:t>
      </w:r>
      <w:proofErr w:type="spellEnd"/>
      <w:r>
        <w:rPr>
          <w:color w:val="auto"/>
          <w:sz w:val="24"/>
        </w:rPr>
        <w:t>;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II – 60% (sessenta por cento), consideradas as saídas interestaduais, excluídas as devoluções recebidas em operações interestaduais; ou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III – 60% (sessenta por cento), considerada a soma das saídas indicadas nos incisos I e II.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§ 1º A dispensa será solicitada na repartição fiscal de jurisdição do interessado mediante requerimento dirigido ao Coordenador-Geral da Receita Estadual instruído com: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ind w:firstLine="540"/>
        <w:jc w:val="both"/>
      </w:pPr>
      <w:r>
        <w:t>I – Certidão Negativa de Tributos Estaduais; e</w:t>
      </w:r>
    </w:p>
    <w:p w:rsidR="00700F0C" w:rsidRDefault="00700F0C" w:rsidP="00700F0C">
      <w:pPr>
        <w:ind w:firstLine="540"/>
        <w:jc w:val="both"/>
      </w:pPr>
    </w:p>
    <w:p w:rsidR="00700F0C" w:rsidRDefault="00700F0C" w:rsidP="00700F0C">
      <w:pPr>
        <w:ind w:firstLine="540"/>
        <w:jc w:val="both"/>
      </w:pPr>
      <w:r>
        <w:t>II – comprovante de pagamento da taxa indicada no item 4 da Tabela “A” da Lei nº 222, de 25 de janeiro de 1989.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bCs/>
          <w:color w:val="auto"/>
          <w:sz w:val="24"/>
        </w:rPr>
      </w:pPr>
      <w:r>
        <w:rPr>
          <w:color w:val="auto"/>
          <w:sz w:val="24"/>
        </w:rPr>
        <w:t xml:space="preserve">§ 2º Os percentuais indicados no “caput” serão apurados pela Gerência de Fiscalização da Coordenadoria da Receita Estadual – GEFIS com base nos valores declarados nos </w:t>
      </w:r>
      <w:r>
        <w:rPr>
          <w:bCs/>
          <w:color w:val="auto"/>
          <w:sz w:val="24"/>
        </w:rPr>
        <w:t>12 (doze) meses anteriores à análise</w:t>
      </w:r>
      <w:r>
        <w:rPr>
          <w:color w:val="auto"/>
          <w:sz w:val="24"/>
        </w:rPr>
        <w:t xml:space="preserve"> por meio das </w:t>
      </w:r>
      <w:r>
        <w:rPr>
          <w:bCs/>
          <w:color w:val="auto"/>
          <w:sz w:val="24"/>
        </w:rPr>
        <w:t>Guias de Informação e Apuração do ICMS Mensal – GIAM de todos os estabelecimentos do contribuinte localizados neste estado.</w:t>
      </w:r>
    </w:p>
    <w:p w:rsidR="00700F0C" w:rsidRDefault="00700F0C" w:rsidP="00700F0C">
      <w:pPr>
        <w:pStyle w:val="Recuodecorpodetexto"/>
        <w:widowControl/>
        <w:ind w:firstLine="540"/>
        <w:rPr>
          <w:bCs/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bCs/>
          <w:color w:val="auto"/>
          <w:sz w:val="24"/>
        </w:rPr>
        <w:t>§ 3º A adequação aos percentuais indicados no “caput” será reavaliada de ofício, na forma indicada no § 2º, a cada 6 (seis) meses.”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Art. 2º</w:t>
      </w:r>
      <w:r>
        <w:rPr>
          <w:color w:val="auto"/>
          <w:sz w:val="24"/>
        </w:rPr>
        <w:t xml:space="preserve"> Passam a vigorar com a seguinte redação os dispositivos adiante enumerados, do Decreto nº 11140, de 21 de julho de 2004: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 w:rsidRPr="00996C1A">
        <w:rPr>
          <w:b/>
          <w:color w:val="auto"/>
          <w:sz w:val="24"/>
        </w:rPr>
        <w:t>I</w:t>
      </w:r>
      <w:r>
        <w:rPr>
          <w:color w:val="auto"/>
          <w:sz w:val="24"/>
        </w:rPr>
        <w:t xml:space="preserve"> – o inciso VIII do artigo 2º: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Pr="00957B52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“</w:t>
      </w:r>
      <w:r w:rsidRPr="00957B52">
        <w:rPr>
          <w:color w:val="auto"/>
          <w:sz w:val="24"/>
        </w:rPr>
        <w:t>VIII – destinadas a integrar processo de industrialização de que resulte mercadoria isenta ou não tributada, respeitado o artigo 3º;”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 w:rsidRPr="00996C1A">
        <w:rPr>
          <w:b/>
          <w:color w:val="auto"/>
          <w:sz w:val="24"/>
        </w:rPr>
        <w:t>II</w:t>
      </w:r>
      <w:r>
        <w:rPr>
          <w:color w:val="auto"/>
          <w:sz w:val="24"/>
        </w:rPr>
        <w:t xml:space="preserve"> – o artigo 3º: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Pr="00DC29BD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“</w:t>
      </w:r>
      <w:r w:rsidRPr="00DC29BD">
        <w:rPr>
          <w:color w:val="auto"/>
          <w:sz w:val="24"/>
        </w:rPr>
        <w:t>Art. 3º As entradas de mercadorias ou be</w:t>
      </w:r>
      <w:r>
        <w:rPr>
          <w:color w:val="auto"/>
          <w:sz w:val="24"/>
        </w:rPr>
        <w:t>ns destinados a uso e consumo,</w:t>
      </w:r>
      <w:r w:rsidRPr="00DC29BD">
        <w:rPr>
          <w:color w:val="auto"/>
          <w:sz w:val="24"/>
        </w:rPr>
        <w:t xml:space="preserve"> a ativo permanente</w:t>
      </w:r>
      <w:r>
        <w:rPr>
          <w:color w:val="auto"/>
          <w:sz w:val="24"/>
        </w:rPr>
        <w:t xml:space="preserve"> ou a</w:t>
      </w:r>
      <w:r w:rsidRPr="00DC29BD">
        <w:rPr>
          <w:color w:val="auto"/>
          <w:sz w:val="24"/>
        </w:rPr>
        <w:t xml:space="preserve"> </w:t>
      </w:r>
      <w:r w:rsidRPr="00957B52">
        <w:rPr>
          <w:color w:val="auto"/>
          <w:sz w:val="24"/>
        </w:rPr>
        <w:t>integrar processo de industrialização de que resulte mercadoria isenta ou não tributada</w:t>
      </w:r>
      <w:r w:rsidRPr="00DC29BD">
        <w:rPr>
          <w:color w:val="auto"/>
          <w:sz w:val="24"/>
        </w:rPr>
        <w:t xml:space="preserve"> serão lançadas nos termos deste Decreto pelo posto fiscal de entrada do estado, sendo da Agência de Rendas de jurisdição do adquirente a competência para, uma vez reconhecido o destino dado a essas mercadorias</w:t>
      </w:r>
      <w:r>
        <w:rPr>
          <w:color w:val="auto"/>
          <w:sz w:val="24"/>
        </w:rPr>
        <w:t xml:space="preserve"> ou bens</w:t>
      </w:r>
      <w:r w:rsidRPr="00DC29BD">
        <w:rPr>
          <w:color w:val="auto"/>
          <w:sz w:val="24"/>
        </w:rPr>
        <w:t>, baixar o lançamento realizado pelo posto fiscal.</w:t>
      </w:r>
    </w:p>
    <w:p w:rsidR="00700F0C" w:rsidRPr="00DC29BD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Pr="00DC29BD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Parágrafo único. </w:t>
      </w:r>
      <w:r w:rsidRPr="00DC29BD">
        <w:rPr>
          <w:color w:val="auto"/>
          <w:sz w:val="24"/>
        </w:rPr>
        <w:t xml:space="preserve">Sem prejuízo de eventual verificação fiscal “in loco”, somente será admitida a baixa do lançamento </w:t>
      </w:r>
      <w:r>
        <w:rPr>
          <w:color w:val="auto"/>
          <w:sz w:val="24"/>
        </w:rPr>
        <w:t>referente à entrada de bens destinados a uso e consumo ou</w:t>
      </w:r>
      <w:r w:rsidRPr="00DC29BD">
        <w:rPr>
          <w:color w:val="auto"/>
          <w:sz w:val="24"/>
        </w:rPr>
        <w:t xml:space="preserve"> a ativo permanente</w:t>
      </w:r>
      <w:r>
        <w:rPr>
          <w:color w:val="auto"/>
          <w:sz w:val="24"/>
        </w:rPr>
        <w:t xml:space="preserve"> </w:t>
      </w:r>
      <w:r w:rsidRPr="00DC29BD">
        <w:rPr>
          <w:color w:val="auto"/>
          <w:sz w:val="24"/>
        </w:rPr>
        <w:t>mediante o lançamento do débito fiscal correspondente na Guia de Informação e Apuração do ICMS Mensal – GIAM do adquirente.”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 w:rsidRPr="00996C1A">
        <w:rPr>
          <w:b/>
          <w:color w:val="auto"/>
          <w:sz w:val="24"/>
        </w:rPr>
        <w:t>III</w:t>
      </w:r>
      <w:r>
        <w:rPr>
          <w:color w:val="auto"/>
          <w:sz w:val="24"/>
        </w:rPr>
        <w:t xml:space="preserve"> – os incisos I e II do artigo 5º: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“I –</w:t>
      </w:r>
      <w:r w:rsidRPr="00312292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para as </w:t>
      </w:r>
      <w:r w:rsidRPr="00312292">
        <w:rPr>
          <w:color w:val="auto"/>
          <w:sz w:val="24"/>
        </w:rPr>
        <w:t xml:space="preserve">mercadorias entradas no </w:t>
      </w:r>
      <w:r>
        <w:rPr>
          <w:color w:val="auto"/>
          <w:sz w:val="24"/>
        </w:rPr>
        <w:t>e</w:t>
      </w:r>
      <w:r w:rsidRPr="00312292">
        <w:rPr>
          <w:color w:val="auto"/>
          <w:sz w:val="24"/>
        </w:rPr>
        <w:t xml:space="preserve">stado </w:t>
      </w:r>
      <w:r>
        <w:rPr>
          <w:color w:val="auto"/>
          <w:sz w:val="24"/>
        </w:rPr>
        <w:t xml:space="preserve">até o dia 15 do mês, </w:t>
      </w:r>
      <w:r w:rsidRPr="00312292">
        <w:rPr>
          <w:color w:val="auto"/>
          <w:sz w:val="24"/>
        </w:rPr>
        <w:t xml:space="preserve">no </w:t>
      </w:r>
      <w:r>
        <w:rPr>
          <w:color w:val="auto"/>
          <w:sz w:val="24"/>
        </w:rPr>
        <w:t>quinto dia do segundo</w:t>
      </w:r>
      <w:r w:rsidRPr="00312292">
        <w:rPr>
          <w:color w:val="auto"/>
          <w:sz w:val="24"/>
        </w:rPr>
        <w:t xml:space="preserve"> mês subseqüente;</w:t>
      </w:r>
      <w:r>
        <w:rPr>
          <w:color w:val="auto"/>
          <w:sz w:val="24"/>
        </w:rPr>
        <w:t xml:space="preserve"> e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Pr="00312292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II –</w:t>
      </w:r>
      <w:r w:rsidRPr="00312292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para as </w:t>
      </w:r>
      <w:r w:rsidRPr="00312292">
        <w:rPr>
          <w:color w:val="auto"/>
          <w:sz w:val="24"/>
        </w:rPr>
        <w:t xml:space="preserve">mercadorias entradas no </w:t>
      </w:r>
      <w:r>
        <w:rPr>
          <w:color w:val="auto"/>
          <w:sz w:val="24"/>
        </w:rPr>
        <w:t>e</w:t>
      </w:r>
      <w:r w:rsidRPr="00312292">
        <w:rPr>
          <w:color w:val="auto"/>
          <w:sz w:val="24"/>
        </w:rPr>
        <w:t xml:space="preserve">stado </w:t>
      </w:r>
      <w:r>
        <w:rPr>
          <w:color w:val="auto"/>
          <w:sz w:val="24"/>
        </w:rPr>
        <w:t>após o dia 15</w:t>
      </w:r>
      <w:r w:rsidRPr="00312292">
        <w:rPr>
          <w:color w:val="auto"/>
          <w:sz w:val="24"/>
        </w:rPr>
        <w:t xml:space="preserve"> </w:t>
      </w:r>
      <w:r>
        <w:rPr>
          <w:color w:val="auto"/>
          <w:sz w:val="24"/>
        </w:rPr>
        <w:t>do mês,</w:t>
      </w:r>
      <w:r w:rsidRPr="00312292">
        <w:rPr>
          <w:color w:val="auto"/>
          <w:sz w:val="24"/>
        </w:rPr>
        <w:t xml:space="preserve"> no </w:t>
      </w:r>
      <w:r>
        <w:rPr>
          <w:color w:val="auto"/>
          <w:sz w:val="24"/>
        </w:rPr>
        <w:t xml:space="preserve">vigésimo dia </w:t>
      </w:r>
      <w:r w:rsidRPr="00312292">
        <w:rPr>
          <w:color w:val="auto"/>
          <w:sz w:val="24"/>
        </w:rPr>
        <w:t xml:space="preserve">do </w:t>
      </w:r>
      <w:r>
        <w:rPr>
          <w:color w:val="auto"/>
          <w:sz w:val="24"/>
        </w:rPr>
        <w:t>segundo mês subseqüente.”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Pr="008122AA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Art. 3º</w:t>
      </w:r>
      <w:r w:rsidRPr="008122AA">
        <w:rPr>
          <w:color w:val="auto"/>
          <w:sz w:val="24"/>
        </w:rPr>
        <w:t xml:space="preserve"> Fica acrescentado </w:t>
      </w:r>
      <w:r>
        <w:rPr>
          <w:color w:val="auto"/>
          <w:sz w:val="24"/>
        </w:rPr>
        <w:t>o inciso VII ao artigo 39 do</w:t>
      </w:r>
      <w:r w:rsidRPr="008122AA">
        <w:rPr>
          <w:color w:val="auto"/>
          <w:sz w:val="24"/>
        </w:rPr>
        <w:t xml:space="preserve"> Regulamento do Imposto sobre Operações Relativas à Circulação de Mercadorias e sobre Prestações de Serviços de Transporte Interestadual e Intermunicipal e de Comunicação – RICMS/RO aprovado pelo Decreto nº 8.321, de 30 de abril de 1998: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“VII – o valor do imposto pago nos termos do Decreto nº 11140, de 21 de julho de 2004.” 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Art. 4º</w:t>
      </w:r>
      <w:r>
        <w:rPr>
          <w:color w:val="auto"/>
          <w:sz w:val="24"/>
        </w:rPr>
        <w:t xml:space="preserve"> Este Decreto entra em vigor na data de sua publicação, produzindo efeitos a partir de: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Pr="00FB0088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I</w:t>
      </w:r>
      <w:r>
        <w:rPr>
          <w:color w:val="auto"/>
          <w:sz w:val="24"/>
        </w:rPr>
        <w:t xml:space="preserve"> – 20 de dezembro de 2004, em relação aos incisos II e III do artigo 1º;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Pr="00FB0088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II</w:t>
      </w:r>
      <w:r>
        <w:rPr>
          <w:color w:val="auto"/>
          <w:sz w:val="24"/>
        </w:rPr>
        <w:t xml:space="preserve"> – 1º de janeiro de 2005, em relação ao inciso III do artigo 2º; e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Pr="00E42D58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II</w:t>
      </w:r>
      <w:r w:rsidRPr="00FB0088">
        <w:rPr>
          <w:b/>
          <w:color w:val="auto"/>
          <w:sz w:val="24"/>
        </w:rPr>
        <w:t>I</w:t>
      </w:r>
      <w:r>
        <w:rPr>
          <w:color w:val="auto"/>
          <w:sz w:val="24"/>
        </w:rPr>
        <w:t xml:space="preserve"> – 1º de agosto de 2004, em relação aos demais dispositivos.</w:t>
      </w:r>
    </w:p>
    <w:p w:rsidR="00700F0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</w:p>
    <w:p w:rsidR="00700F0C" w:rsidRPr="00786FFC" w:rsidRDefault="00700F0C" w:rsidP="00700F0C">
      <w:pPr>
        <w:pStyle w:val="Recuodecorpodetexto"/>
        <w:widowControl/>
        <w:ind w:firstLine="540"/>
        <w:rPr>
          <w:color w:val="auto"/>
          <w:sz w:val="24"/>
        </w:rPr>
      </w:pPr>
      <w:r w:rsidRPr="00786FFC">
        <w:rPr>
          <w:color w:val="auto"/>
          <w:sz w:val="24"/>
        </w:rPr>
        <w:t xml:space="preserve">Palácio do Governo do Estado de Rondônia, em </w:t>
      </w:r>
      <w:r>
        <w:rPr>
          <w:color w:val="auto"/>
          <w:sz w:val="24"/>
        </w:rPr>
        <w:t xml:space="preserve">16 </w:t>
      </w:r>
      <w:r w:rsidRPr="00786FFC">
        <w:rPr>
          <w:color w:val="auto"/>
          <w:sz w:val="24"/>
        </w:rPr>
        <w:t xml:space="preserve">de </w:t>
      </w:r>
      <w:r>
        <w:rPr>
          <w:color w:val="auto"/>
          <w:sz w:val="24"/>
        </w:rPr>
        <w:t>dezembro</w:t>
      </w:r>
      <w:r w:rsidRPr="00786FFC">
        <w:rPr>
          <w:color w:val="auto"/>
          <w:sz w:val="24"/>
        </w:rPr>
        <w:t xml:space="preserve"> de 2004, 116º da República.</w:t>
      </w:r>
    </w:p>
    <w:p w:rsidR="00700F0C" w:rsidRPr="002864A6" w:rsidRDefault="00700F0C" w:rsidP="00700F0C">
      <w:pPr>
        <w:jc w:val="both"/>
        <w:rPr>
          <w:bCs/>
        </w:rPr>
      </w:pPr>
    </w:p>
    <w:p w:rsidR="00700F0C" w:rsidRPr="0059068A" w:rsidRDefault="00700F0C" w:rsidP="00700F0C">
      <w:pPr>
        <w:jc w:val="both"/>
        <w:rPr>
          <w:bCs/>
        </w:rPr>
      </w:pPr>
    </w:p>
    <w:p w:rsidR="00700F0C" w:rsidRPr="0059068A" w:rsidRDefault="00700F0C" w:rsidP="00700F0C">
      <w:pPr>
        <w:jc w:val="both"/>
        <w:rPr>
          <w:bCs/>
        </w:rPr>
      </w:pPr>
    </w:p>
    <w:p w:rsidR="00700F0C" w:rsidRDefault="00700F0C" w:rsidP="00700F0C">
      <w:pPr>
        <w:jc w:val="center"/>
        <w:rPr>
          <w:b/>
        </w:rPr>
      </w:pPr>
      <w:r>
        <w:rPr>
          <w:b/>
        </w:rPr>
        <w:t>IVO NARCISO CASSOL</w:t>
      </w:r>
    </w:p>
    <w:p w:rsidR="00700F0C" w:rsidRDefault="00700F0C" w:rsidP="00700F0C">
      <w:pPr>
        <w:jc w:val="center"/>
        <w:rPr>
          <w:b/>
        </w:rPr>
      </w:pPr>
      <w:r>
        <w:rPr>
          <w:b/>
        </w:rPr>
        <w:t>Governador</w:t>
      </w:r>
    </w:p>
    <w:p w:rsidR="00700F0C" w:rsidRPr="0059068A" w:rsidRDefault="00700F0C" w:rsidP="00700F0C">
      <w:pPr>
        <w:jc w:val="both"/>
        <w:rPr>
          <w:bCs/>
        </w:rPr>
      </w:pPr>
    </w:p>
    <w:p w:rsidR="00700F0C" w:rsidRPr="0059068A" w:rsidRDefault="00700F0C" w:rsidP="00700F0C">
      <w:pPr>
        <w:jc w:val="both"/>
        <w:rPr>
          <w:bCs/>
        </w:rPr>
      </w:pPr>
    </w:p>
    <w:p w:rsidR="00700F0C" w:rsidRPr="0059068A" w:rsidRDefault="00700F0C" w:rsidP="00700F0C">
      <w:pPr>
        <w:jc w:val="both"/>
        <w:rPr>
          <w:bCs/>
        </w:rPr>
      </w:pPr>
    </w:p>
    <w:p w:rsidR="00700F0C" w:rsidRDefault="00700F0C" w:rsidP="00700F0C">
      <w:pPr>
        <w:jc w:val="center"/>
        <w:rPr>
          <w:b/>
        </w:rPr>
      </w:pPr>
      <w:r>
        <w:rPr>
          <w:b/>
        </w:rPr>
        <w:t>JOSÉ GENARO DE ANDRADE</w:t>
      </w:r>
    </w:p>
    <w:p w:rsidR="00700F0C" w:rsidRDefault="00700F0C" w:rsidP="00700F0C">
      <w:pPr>
        <w:jc w:val="center"/>
        <w:rPr>
          <w:b/>
        </w:rPr>
      </w:pPr>
      <w:r w:rsidRPr="00C93F3B">
        <w:rPr>
          <w:b/>
        </w:rPr>
        <w:t>Secretário de Estado de Finanças</w:t>
      </w:r>
    </w:p>
    <w:p w:rsidR="00700F0C" w:rsidRPr="0059068A" w:rsidRDefault="00700F0C" w:rsidP="00700F0C">
      <w:pPr>
        <w:jc w:val="both"/>
        <w:rPr>
          <w:bCs/>
        </w:rPr>
      </w:pPr>
    </w:p>
    <w:p w:rsidR="00700F0C" w:rsidRPr="0059068A" w:rsidRDefault="00700F0C" w:rsidP="00700F0C">
      <w:pPr>
        <w:jc w:val="both"/>
        <w:rPr>
          <w:bCs/>
        </w:rPr>
      </w:pPr>
    </w:p>
    <w:p w:rsidR="00700F0C" w:rsidRPr="0059068A" w:rsidRDefault="00700F0C" w:rsidP="00700F0C">
      <w:pPr>
        <w:jc w:val="both"/>
        <w:rPr>
          <w:bCs/>
        </w:rPr>
      </w:pPr>
    </w:p>
    <w:p w:rsidR="00700F0C" w:rsidRDefault="00700F0C" w:rsidP="00700F0C">
      <w:pPr>
        <w:jc w:val="center"/>
        <w:rPr>
          <w:b/>
        </w:rPr>
      </w:pPr>
      <w:r>
        <w:rPr>
          <w:b/>
        </w:rPr>
        <w:t>RENALDO SOUZA DA SILVA</w:t>
      </w:r>
    </w:p>
    <w:p w:rsidR="00700F0C" w:rsidRDefault="00700F0C" w:rsidP="00700F0C">
      <w:pPr>
        <w:jc w:val="center"/>
        <w:rPr>
          <w:b/>
        </w:rPr>
      </w:pPr>
      <w:r>
        <w:rPr>
          <w:b/>
        </w:rPr>
        <w:t>Coordenador-Geral da Receita Estadual</w:t>
      </w:r>
    </w:p>
    <w:p w:rsidR="006F646C" w:rsidRDefault="00700F0C"/>
    <w:sectPr w:rsidR="006F646C" w:rsidSect="002E3532">
      <w:headerReference w:type="default" r:id="rId4"/>
      <w:footerReference w:type="even" r:id="rId5"/>
      <w:footerReference w:type="default" r:id="rId6"/>
      <w:pgSz w:w="11907" w:h="16840" w:code="9"/>
      <w:pgMar w:top="1134" w:right="851" w:bottom="1134" w:left="1134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3532" w:rsidRDefault="00700F0C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E3532" w:rsidRDefault="00700F0C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3532" w:rsidRDefault="00700F0C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2E3532" w:rsidRDefault="00700F0C">
    <w:pPr>
      <w:pStyle w:val="Rodap"/>
      <w:ind w:right="360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3532" w:rsidRDefault="00700F0C">
    <w:pPr>
      <w:pStyle w:val="Cabealho"/>
      <w:ind w:right="360"/>
      <w:jc w:val="center"/>
    </w:pPr>
    <w:r>
      <w:object w:dxaOrig="1090" w:dyaOrig="153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0pt;height:80.25pt" o:ole="" fillcolor="window">
          <v:imagedata r:id="rId1" o:title=""/>
        </v:shape>
        <o:OLEObject Type="Embed" ProgID="Word.Picture.8" ShapeID="_x0000_i1025" DrawAspect="Content" ObjectID="_1551175663" r:id="rId2"/>
      </w:object>
    </w:r>
  </w:p>
  <w:p w:rsidR="002E3532" w:rsidRDefault="00700F0C">
    <w:pPr>
      <w:pStyle w:val="Cabealho"/>
      <w:jc w:val="center"/>
      <w:rPr>
        <w:b/>
        <w:sz w:val="28"/>
        <w:szCs w:val="28"/>
      </w:rPr>
    </w:pPr>
    <w:r>
      <w:rPr>
        <w:b/>
        <w:sz w:val="28"/>
        <w:szCs w:val="28"/>
      </w:rPr>
      <w:t>GOVERNO DO ESTADO DE RONDÔNIA</w:t>
    </w:r>
  </w:p>
  <w:p w:rsidR="002E3532" w:rsidRDefault="00700F0C">
    <w:pPr>
      <w:pStyle w:val="Ttulo4"/>
      <w:rPr>
        <w:sz w:val="26"/>
        <w:szCs w:val="26"/>
      </w:rPr>
    </w:pPr>
    <w:r>
      <w:rPr>
        <w:szCs w:val="28"/>
      </w:rPr>
      <w:t>GOVERNADORIA</w:t>
    </w:r>
  </w:p>
  <w:p w:rsidR="002E3532" w:rsidRDefault="00700F0C">
    <w:pPr>
      <w:pStyle w:val="Cabealho"/>
      <w:jc w:val="center"/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00F0C"/>
    <w:rsid w:val="005B5956"/>
    <w:rsid w:val="00700F0C"/>
    <w:rsid w:val="00726B65"/>
    <w:rsid w:val="00B63379"/>
    <w:rsid w:val="00D30D20"/>
    <w:rsid w:val="00D55E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0F0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3">
    <w:name w:val="heading 3"/>
    <w:basedOn w:val="Normal"/>
    <w:next w:val="Normal"/>
    <w:link w:val="Ttulo3Char"/>
    <w:qFormat/>
    <w:rsid w:val="00700F0C"/>
    <w:pPr>
      <w:keepNext/>
      <w:ind w:firstLine="540"/>
      <w:jc w:val="both"/>
      <w:outlineLvl w:val="2"/>
    </w:pPr>
    <w:rPr>
      <w:b/>
      <w:bCs/>
    </w:rPr>
  </w:style>
  <w:style w:type="paragraph" w:styleId="Ttulo4">
    <w:name w:val="heading 4"/>
    <w:basedOn w:val="Normal"/>
    <w:next w:val="Normal"/>
    <w:link w:val="Ttulo4Char"/>
    <w:qFormat/>
    <w:rsid w:val="00700F0C"/>
    <w:pPr>
      <w:keepNext/>
      <w:jc w:val="center"/>
      <w:outlineLvl w:val="3"/>
    </w:pPr>
    <w:rPr>
      <w:b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basedOn w:val="Fontepargpadro"/>
    <w:link w:val="Ttulo3"/>
    <w:rsid w:val="00700F0C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character" w:customStyle="1" w:styleId="Ttulo4Char">
    <w:name w:val="Título 4 Char"/>
    <w:basedOn w:val="Fontepargpadro"/>
    <w:link w:val="Ttulo4"/>
    <w:rsid w:val="00700F0C"/>
    <w:rPr>
      <w:rFonts w:ascii="Times New Roman" w:eastAsia="Times New Roman" w:hAnsi="Times New Roman" w:cs="Times New Roman"/>
      <w:b/>
      <w:sz w:val="28"/>
      <w:szCs w:val="24"/>
      <w:lang w:eastAsia="pt-BR"/>
    </w:rPr>
  </w:style>
  <w:style w:type="paragraph" w:styleId="Recuodecorpodetexto">
    <w:name w:val="Body Text Indent"/>
    <w:basedOn w:val="Normal"/>
    <w:link w:val="RecuodecorpodetextoChar"/>
    <w:rsid w:val="00700F0C"/>
    <w:pPr>
      <w:widowControl w:val="0"/>
      <w:jc w:val="both"/>
    </w:pPr>
    <w:rPr>
      <w:color w:val="000000"/>
      <w:sz w:val="20"/>
      <w:szCs w:val="20"/>
    </w:rPr>
  </w:style>
  <w:style w:type="character" w:customStyle="1" w:styleId="RecuodecorpodetextoChar">
    <w:name w:val="Recuo de corpo de texto Char"/>
    <w:basedOn w:val="Fontepargpadro"/>
    <w:link w:val="Recuodecorpodetexto"/>
    <w:rsid w:val="00700F0C"/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styleId="Recuodecorpodetexto3">
    <w:name w:val="Body Text Indent 3"/>
    <w:basedOn w:val="Normal"/>
    <w:link w:val="Recuodecorpodetexto3Char"/>
    <w:rsid w:val="00700F0C"/>
    <w:pPr>
      <w:ind w:left="3402"/>
      <w:jc w:val="both"/>
    </w:pPr>
    <w:rPr>
      <w:rFonts w:ascii="Arial" w:hAnsi="Arial"/>
      <w:spacing w:val="18"/>
      <w:szCs w:val="20"/>
    </w:rPr>
  </w:style>
  <w:style w:type="character" w:customStyle="1" w:styleId="Recuodecorpodetexto3Char">
    <w:name w:val="Recuo de corpo de texto 3 Char"/>
    <w:basedOn w:val="Fontepargpadro"/>
    <w:link w:val="Recuodecorpodetexto3"/>
    <w:rsid w:val="00700F0C"/>
    <w:rPr>
      <w:rFonts w:ascii="Arial" w:eastAsia="Times New Roman" w:hAnsi="Arial" w:cs="Times New Roman"/>
      <w:spacing w:val="18"/>
      <w:sz w:val="24"/>
      <w:szCs w:val="20"/>
      <w:lang w:eastAsia="pt-BR"/>
    </w:rPr>
  </w:style>
  <w:style w:type="paragraph" w:styleId="Cabealho">
    <w:name w:val="header"/>
    <w:basedOn w:val="Normal"/>
    <w:link w:val="CabealhoChar"/>
    <w:rsid w:val="00700F0C"/>
    <w:pPr>
      <w:tabs>
        <w:tab w:val="center" w:pos="4419"/>
        <w:tab w:val="right" w:pos="8838"/>
      </w:tabs>
    </w:pPr>
    <w:rPr>
      <w:sz w:val="20"/>
      <w:szCs w:val="20"/>
    </w:rPr>
  </w:style>
  <w:style w:type="character" w:customStyle="1" w:styleId="CabealhoChar">
    <w:name w:val="Cabeçalho Char"/>
    <w:basedOn w:val="Fontepargpadro"/>
    <w:link w:val="Cabealho"/>
    <w:rsid w:val="00700F0C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har"/>
    <w:rsid w:val="00700F0C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700F0C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merodepgina">
    <w:name w:val="page number"/>
    <w:basedOn w:val="Fontepargpadro"/>
    <w:rsid w:val="00700F0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782</Words>
  <Characters>4229</Characters>
  <Application>Microsoft Office Word</Application>
  <DocSecurity>0</DocSecurity>
  <Lines>35</Lines>
  <Paragraphs>10</Paragraphs>
  <ScaleCrop>false</ScaleCrop>
  <Company/>
  <LinksUpToDate>false</LinksUpToDate>
  <CharactersWithSpaces>5001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300024155</dc:creator>
  <cp:lastModifiedBy>300024155</cp:lastModifiedBy>
  <cp:revision>1</cp:revision>
  <dcterms:created xsi:type="dcterms:W3CDTF">2017-03-16T17:21:00Z</dcterms:created>
  <dcterms:modified xsi:type="dcterms:W3CDTF">2017-03-16T17:21:00Z</dcterms:modified>
</cp:coreProperties>
</file>