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D384CD3" w14:textId="77777777" w:rsidR="004750FF" w:rsidRPr="00C72758" w:rsidRDefault="004750FF" w:rsidP="004750FF">
      <w:pPr>
        <w:rPr>
          <w:rFonts w:cstheme="minorHAnsi"/>
          <w:color w:val="FF0000"/>
          <w:sz w:val="20"/>
          <w:szCs w:val="20"/>
        </w:rPr>
      </w:pPr>
      <w:r>
        <w:rPr>
          <w:rFonts w:cstheme="minorHAnsi"/>
          <w:color w:val="FF0000"/>
          <w:sz w:val="20"/>
          <w:szCs w:val="20"/>
        </w:rPr>
        <w:t xml:space="preserve">* </w:t>
      </w:r>
      <w:r w:rsidRPr="00C72758">
        <w:rPr>
          <w:rFonts w:cstheme="minorHAnsi"/>
          <w:color w:val="FF0000"/>
          <w:sz w:val="20"/>
          <w:szCs w:val="20"/>
        </w:rPr>
        <w:t>Este texto não substitui o publicado no DOE.</w:t>
      </w:r>
    </w:p>
    <w:p w14:paraId="43E800B6" w14:textId="43B63CFD" w:rsidR="004750FF" w:rsidRPr="00C72758" w:rsidRDefault="004750FF" w:rsidP="004750FF">
      <w:pPr>
        <w:rPr>
          <w:rFonts w:cstheme="minorHAnsi"/>
          <w:color w:val="000000"/>
          <w:sz w:val="20"/>
          <w:szCs w:val="20"/>
        </w:rPr>
      </w:pPr>
      <w:r w:rsidRPr="00C72758">
        <w:rPr>
          <w:rFonts w:cstheme="minorHAnsi"/>
          <w:color w:val="000000"/>
          <w:sz w:val="20"/>
          <w:szCs w:val="20"/>
        </w:rPr>
        <w:t>Diário Oficial do Estado de Rondônia nº 11</w:t>
      </w:r>
      <w:r w:rsidR="00DE39ED">
        <w:rPr>
          <w:rFonts w:cstheme="minorHAnsi"/>
          <w:color w:val="000000"/>
          <w:sz w:val="20"/>
          <w:szCs w:val="20"/>
        </w:rPr>
        <w:t>3</w:t>
      </w:r>
      <w:r w:rsidRPr="00C72758">
        <w:rPr>
          <w:rFonts w:cstheme="minorHAnsi"/>
          <w:color w:val="000000"/>
          <w:sz w:val="20"/>
          <w:szCs w:val="20"/>
        </w:rPr>
        <w:br/>
        <w:t>Disponibilização: 1</w:t>
      </w:r>
      <w:r w:rsidR="00DE39ED">
        <w:rPr>
          <w:rFonts w:cstheme="minorHAnsi"/>
          <w:color w:val="000000"/>
          <w:sz w:val="20"/>
          <w:szCs w:val="20"/>
        </w:rPr>
        <w:t>7</w:t>
      </w:r>
      <w:r w:rsidRPr="00C72758">
        <w:rPr>
          <w:rFonts w:cstheme="minorHAnsi"/>
          <w:color w:val="000000"/>
          <w:sz w:val="20"/>
          <w:szCs w:val="20"/>
        </w:rPr>
        <w:t>/06/2022</w:t>
      </w:r>
      <w:r w:rsidRPr="00C72758">
        <w:rPr>
          <w:rFonts w:cstheme="minorHAnsi"/>
          <w:color w:val="000000"/>
          <w:sz w:val="20"/>
          <w:szCs w:val="20"/>
        </w:rPr>
        <w:br/>
        <w:t>Publicação: 1</w:t>
      </w:r>
      <w:r w:rsidR="00DE39ED">
        <w:rPr>
          <w:rFonts w:cstheme="minorHAnsi"/>
          <w:color w:val="000000"/>
          <w:sz w:val="20"/>
          <w:szCs w:val="20"/>
        </w:rPr>
        <w:t>7</w:t>
      </w:r>
      <w:r w:rsidRPr="00C72758">
        <w:rPr>
          <w:rFonts w:cstheme="minorHAnsi"/>
          <w:color w:val="000000"/>
          <w:sz w:val="20"/>
          <w:szCs w:val="20"/>
        </w:rPr>
        <w:t>/06/2022</w:t>
      </w:r>
    </w:p>
    <w:p w14:paraId="3EEFB67A" w14:textId="77777777" w:rsidR="004750FF" w:rsidRDefault="004750FF" w:rsidP="00AD0FA2">
      <w:pPr>
        <w:spacing w:after="0" w:line="240" w:lineRule="auto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</w:p>
    <w:p w14:paraId="7B0206E9" w14:textId="24648284" w:rsidR="00AD0FA2" w:rsidRPr="00AD0FA2" w:rsidRDefault="00AD0FA2" w:rsidP="00AD0FA2">
      <w:pPr>
        <w:spacing w:after="0" w:line="240" w:lineRule="auto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AD0FA2">
        <w:rPr>
          <w:rFonts w:cstheme="minorHAnsi"/>
          <w:noProof/>
          <w:sz w:val="24"/>
          <w:szCs w:val="24"/>
        </w:rPr>
        <w:drawing>
          <wp:inline distT="0" distB="0" distL="0" distR="0" wp14:anchorId="162EBA87" wp14:editId="05D3AB6F">
            <wp:extent cx="1132586" cy="866775"/>
            <wp:effectExtent l="0" t="0" r="0" b="0"/>
            <wp:docPr id="4" name="Imagem 4" descr="Uma imagem contendo Logotipo&#10;&#10;Descrição gerad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m 4" descr="Uma imagem contendo Logotipo&#10;&#10;Descrição gerada automaticamente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33960" cy="86782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7D00BAA" w14:textId="77777777" w:rsidR="00AD0FA2" w:rsidRPr="00AD0FA2" w:rsidRDefault="00AD0FA2" w:rsidP="00AD0FA2">
      <w:pPr>
        <w:spacing w:after="0" w:line="240" w:lineRule="auto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AD0FA2">
        <w:rPr>
          <w:rFonts w:eastAsia="Times New Roman" w:cstheme="minorHAnsi"/>
          <w:color w:val="000000"/>
          <w:sz w:val="24"/>
          <w:szCs w:val="24"/>
          <w:lang w:eastAsia="pt-BR"/>
        </w:rPr>
        <w:br/>
        <w:t>Casa Civil - CASA CIVIL</w:t>
      </w:r>
      <w:r w:rsidRPr="00AD0FA2">
        <w:rPr>
          <w:rFonts w:eastAsia="Times New Roman" w:cstheme="minorHAnsi"/>
          <w:color w:val="000000"/>
          <w:sz w:val="24"/>
          <w:szCs w:val="24"/>
          <w:lang w:eastAsia="pt-BR"/>
        </w:rPr>
        <w:br/>
        <w:t>  </w:t>
      </w:r>
    </w:p>
    <w:p w14:paraId="235C2558" w14:textId="77777777" w:rsidR="00AD0FA2" w:rsidRPr="00AD0FA2" w:rsidRDefault="00AD0FA2" w:rsidP="00AD0FA2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AD0FA2">
        <w:rPr>
          <w:rFonts w:eastAsia="Times New Roman" w:cstheme="minorHAnsi"/>
          <w:color w:val="000000"/>
          <w:sz w:val="24"/>
          <w:szCs w:val="24"/>
          <w:lang w:eastAsia="pt-BR"/>
        </w:rPr>
        <w:t>DECRETO N° 27.246, DE 15 DE JUNHO DE 2022.</w:t>
      </w:r>
    </w:p>
    <w:p w14:paraId="61CD9EE3" w14:textId="77777777" w:rsidR="00AD0FA2" w:rsidRDefault="00AD0FA2" w:rsidP="00AD0FA2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</w:p>
    <w:p w14:paraId="6B83267D" w14:textId="53FF9FE4" w:rsidR="00AD0FA2" w:rsidRPr="00AD0FA2" w:rsidRDefault="00AD0FA2" w:rsidP="00AD0FA2">
      <w:pPr>
        <w:spacing w:after="0" w:line="240" w:lineRule="auto"/>
        <w:ind w:left="3402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bookmarkStart w:id="0" w:name="_Hlk76373642"/>
      <w:r w:rsidRPr="00AD0FA2">
        <w:rPr>
          <w:color w:val="000000"/>
          <w:sz w:val="24"/>
          <w:szCs w:val="24"/>
        </w:rPr>
        <w:t>Altera e acresce dispositivos a</w:t>
      </w:r>
      <w:bookmarkEnd w:id="0"/>
      <w:r w:rsidRPr="00AD0FA2">
        <w:rPr>
          <w:color w:val="000000"/>
          <w:sz w:val="24"/>
          <w:szCs w:val="24"/>
        </w:rPr>
        <w:t>o Regulamento do Imposto sobre Operações Relativas à Circulação de Mercadorias e sobre Prestações de Serviços de Transporte Interestadual e Intermunicipal e de Comunicação - RICMS/RO, aprovado pelo Decreto n° 22.721, de 5 de abril de 2018.</w:t>
      </w:r>
    </w:p>
    <w:p w14:paraId="3151860B" w14:textId="28554D4C" w:rsidR="00AD0FA2" w:rsidRPr="00AD0FA2" w:rsidRDefault="00AD0FA2" w:rsidP="00AD0FA2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AD0FA2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1F90261F" w14:textId="77777777" w:rsidR="00AD0FA2" w:rsidRPr="00AD0FA2" w:rsidRDefault="00AD0FA2" w:rsidP="00AD0FA2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AD0FA2">
        <w:rPr>
          <w:rFonts w:eastAsia="Times New Roman" w:cstheme="minorHAnsi"/>
          <w:color w:val="000000"/>
          <w:sz w:val="24"/>
          <w:szCs w:val="24"/>
          <w:lang w:eastAsia="pt-BR"/>
        </w:rPr>
        <w:t>O GOVERNADOR DO ESTADO DE RONDÔNIA, no uso das atribuições que lhe confere o inciso V do artigo 65 da Constituição do Estado,</w:t>
      </w:r>
    </w:p>
    <w:p w14:paraId="781329BB" w14:textId="77777777" w:rsidR="00AD0FA2" w:rsidRPr="00AD0FA2" w:rsidRDefault="00AD0FA2" w:rsidP="00AD0FA2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AD0FA2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1234ED29" w14:textId="77777777" w:rsidR="00AD0FA2" w:rsidRPr="00AD0FA2" w:rsidRDefault="00AD0FA2" w:rsidP="00AD0FA2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AD0FA2">
        <w:rPr>
          <w:rFonts w:eastAsia="Times New Roman" w:cstheme="minorHAnsi"/>
          <w:color w:val="000000"/>
          <w:sz w:val="24"/>
          <w:szCs w:val="24"/>
          <w:u w:val="single"/>
          <w:lang w:eastAsia="pt-BR"/>
        </w:rPr>
        <w:t>D</w:t>
      </w:r>
      <w:r w:rsidRPr="00AD0FA2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  <w:r w:rsidRPr="00AD0FA2">
        <w:rPr>
          <w:rFonts w:eastAsia="Times New Roman" w:cstheme="minorHAnsi"/>
          <w:color w:val="000000"/>
          <w:sz w:val="24"/>
          <w:szCs w:val="24"/>
          <w:u w:val="single"/>
          <w:lang w:eastAsia="pt-BR"/>
        </w:rPr>
        <w:t>E</w:t>
      </w:r>
      <w:r w:rsidRPr="00AD0FA2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  <w:r w:rsidRPr="00AD0FA2">
        <w:rPr>
          <w:rFonts w:eastAsia="Times New Roman" w:cstheme="minorHAnsi"/>
          <w:color w:val="000000"/>
          <w:sz w:val="24"/>
          <w:szCs w:val="24"/>
          <w:u w:val="single"/>
          <w:lang w:eastAsia="pt-BR"/>
        </w:rPr>
        <w:t>C</w:t>
      </w:r>
      <w:r w:rsidRPr="00AD0FA2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  <w:r w:rsidRPr="00AD0FA2">
        <w:rPr>
          <w:rFonts w:eastAsia="Times New Roman" w:cstheme="minorHAnsi"/>
          <w:color w:val="000000"/>
          <w:sz w:val="24"/>
          <w:szCs w:val="24"/>
          <w:u w:val="single"/>
          <w:lang w:eastAsia="pt-BR"/>
        </w:rPr>
        <w:t>R</w:t>
      </w:r>
      <w:r w:rsidRPr="00AD0FA2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  <w:r w:rsidRPr="00AD0FA2">
        <w:rPr>
          <w:rFonts w:eastAsia="Times New Roman" w:cstheme="minorHAnsi"/>
          <w:color w:val="000000"/>
          <w:sz w:val="24"/>
          <w:szCs w:val="24"/>
          <w:u w:val="single"/>
          <w:lang w:eastAsia="pt-BR"/>
        </w:rPr>
        <w:t>E</w:t>
      </w:r>
      <w:r w:rsidRPr="00AD0FA2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  <w:r w:rsidRPr="00AD0FA2">
        <w:rPr>
          <w:rFonts w:eastAsia="Times New Roman" w:cstheme="minorHAnsi"/>
          <w:color w:val="000000"/>
          <w:sz w:val="24"/>
          <w:szCs w:val="24"/>
          <w:u w:val="single"/>
          <w:lang w:eastAsia="pt-BR"/>
        </w:rPr>
        <w:t>T</w:t>
      </w:r>
      <w:r w:rsidRPr="00AD0FA2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  <w:r w:rsidRPr="00AD0FA2">
        <w:rPr>
          <w:rFonts w:eastAsia="Times New Roman" w:cstheme="minorHAnsi"/>
          <w:color w:val="000000"/>
          <w:sz w:val="24"/>
          <w:szCs w:val="24"/>
          <w:u w:val="single"/>
          <w:lang w:eastAsia="pt-BR"/>
        </w:rPr>
        <w:t>A</w:t>
      </w:r>
      <w:r w:rsidRPr="00AD0FA2">
        <w:rPr>
          <w:rFonts w:eastAsia="Times New Roman" w:cstheme="minorHAnsi"/>
          <w:color w:val="000000"/>
          <w:sz w:val="24"/>
          <w:szCs w:val="24"/>
          <w:lang w:eastAsia="pt-BR"/>
        </w:rPr>
        <w:t>:</w:t>
      </w:r>
    </w:p>
    <w:p w14:paraId="137B0C0C" w14:textId="77777777" w:rsidR="00AD0FA2" w:rsidRPr="00AD0FA2" w:rsidRDefault="00AD0FA2" w:rsidP="00AD0FA2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AD0FA2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7289ED24" w14:textId="77777777" w:rsidR="00AD0FA2" w:rsidRPr="00AD0FA2" w:rsidRDefault="00AD0FA2" w:rsidP="00AD0FA2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AD0FA2">
        <w:rPr>
          <w:rFonts w:eastAsia="Times New Roman" w:cstheme="minorHAnsi"/>
          <w:color w:val="000000"/>
          <w:sz w:val="24"/>
          <w:szCs w:val="24"/>
          <w:lang w:eastAsia="pt-BR"/>
        </w:rPr>
        <w:t>Art. 1°  A alínea “d” do inciso I do § 2° do art. 57 e o art. 65 do Regulamento do Imposto sobre Operações Relativas à Circulação de Mercadorias e sobre Prestações de Serviços de Transporte Interestadual e Intermunicipal e de Comunicação - RICMS/RO, aprovado pelo Decreto n° 22.721, de 5 de abril de 2018, passam a vigorar com as seguintes alterações:</w:t>
      </w:r>
    </w:p>
    <w:p w14:paraId="305B748B" w14:textId="77777777" w:rsidR="00AD0FA2" w:rsidRPr="00AD0FA2" w:rsidRDefault="00AD0FA2" w:rsidP="00AD0FA2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AD0FA2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3F92B2B7" w14:textId="77777777" w:rsidR="00AD0FA2" w:rsidRPr="00AD0FA2" w:rsidRDefault="00AD0FA2" w:rsidP="00AD0FA2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AD0FA2">
        <w:rPr>
          <w:rFonts w:eastAsia="Times New Roman" w:cstheme="minorHAnsi"/>
          <w:color w:val="000000"/>
          <w:sz w:val="24"/>
          <w:szCs w:val="24"/>
          <w:lang w:eastAsia="pt-BR"/>
        </w:rPr>
        <w:t>“Art. 57. ............................................................................................................................</w:t>
      </w:r>
    </w:p>
    <w:p w14:paraId="79DEF57D" w14:textId="77777777" w:rsidR="00AD0FA2" w:rsidRPr="00AD0FA2" w:rsidRDefault="00AD0FA2" w:rsidP="00AD0FA2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AD0FA2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797CA289" w14:textId="77777777" w:rsidR="00AD0FA2" w:rsidRPr="00AD0FA2" w:rsidRDefault="00AD0FA2" w:rsidP="00AD0FA2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AD0FA2">
        <w:rPr>
          <w:rFonts w:eastAsia="Times New Roman" w:cstheme="minorHAnsi"/>
          <w:color w:val="000000"/>
          <w:sz w:val="24"/>
          <w:szCs w:val="24"/>
          <w:lang w:eastAsia="pt-BR"/>
        </w:rPr>
        <w:t>...........................................................................................................................................</w:t>
      </w:r>
    </w:p>
    <w:p w14:paraId="3D7451CA" w14:textId="77777777" w:rsidR="00AD0FA2" w:rsidRPr="00AD0FA2" w:rsidRDefault="00AD0FA2" w:rsidP="00AD0FA2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AD0FA2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32727B24" w14:textId="77777777" w:rsidR="00AD0FA2" w:rsidRPr="00AD0FA2" w:rsidRDefault="00AD0FA2" w:rsidP="00AD0FA2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AD0FA2">
        <w:rPr>
          <w:rFonts w:eastAsia="Times New Roman" w:cstheme="minorHAnsi"/>
          <w:color w:val="000000"/>
          <w:sz w:val="24"/>
          <w:szCs w:val="24"/>
          <w:lang w:eastAsia="pt-BR"/>
        </w:rPr>
        <w:t>§ 2° ...................................................................................................................................</w:t>
      </w:r>
    </w:p>
    <w:p w14:paraId="6CEAD5DD" w14:textId="77777777" w:rsidR="00AD0FA2" w:rsidRPr="00AD0FA2" w:rsidRDefault="00AD0FA2" w:rsidP="00AD0FA2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AD0FA2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081B6B8F" w14:textId="77777777" w:rsidR="00AD0FA2" w:rsidRPr="00AD0FA2" w:rsidRDefault="00AD0FA2" w:rsidP="00AD0FA2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AD0FA2">
        <w:rPr>
          <w:rFonts w:eastAsia="Times New Roman" w:cstheme="minorHAnsi"/>
          <w:color w:val="000000"/>
          <w:sz w:val="24"/>
          <w:szCs w:val="24"/>
          <w:lang w:eastAsia="pt-BR"/>
        </w:rPr>
        <w:t>I - ......................................................................................................................................</w:t>
      </w:r>
    </w:p>
    <w:p w14:paraId="1EFA128F" w14:textId="77777777" w:rsidR="00AD0FA2" w:rsidRPr="00AD0FA2" w:rsidRDefault="00AD0FA2" w:rsidP="00AD0FA2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AD0FA2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7AA6C7F8" w14:textId="77777777" w:rsidR="00AD0FA2" w:rsidRPr="00AD0FA2" w:rsidRDefault="00AD0FA2" w:rsidP="00AD0FA2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AD0FA2">
        <w:rPr>
          <w:rFonts w:eastAsia="Times New Roman" w:cstheme="minorHAnsi"/>
          <w:color w:val="000000"/>
          <w:sz w:val="24"/>
          <w:szCs w:val="24"/>
          <w:lang w:eastAsia="pt-BR"/>
        </w:rPr>
        <w:t>...........................................................................................................................................</w:t>
      </w:r>
    </w:p>
    <w:p w14:paraId="6B5274FE" w14:textId="77777777" w:rsidR="00AD0FA2" w:rsidRPr="00AD0FA2" w:rsidRDefault="00AD0FA2" w:rsidP="00AD0FA2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AD0FA2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555F36DF" w14:textId="77777777" w:rsidR="00AD0FA2" w:rsidRPr="00AD0FA2" w:rsidRDefault="00AD0FA2" w:rsidP="00AD0FA2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AD0FA2">
        <w:rPr>
          <w:rFonts w:eastAsia="Times New Roman" w:cstheme="minorHAnsi"/>
          <w:color w:val="000000"/>
          <w:sz w:val="24"/>
          <w:szCs w:val="24"/>
          <w:lang w:eastAsia="pt-BR"/>
        </w:rPr>
        <w:t>d - não possuir parcelamentos em curso originados de ICMS Comércio Substituição Tributária - entrada (código de receita 1231), de ICMS Diferencial de Alíquota Simples Nacional (código de receita 1659), bem como da aplicação do disposto no Anexo VII deste Regulamento;</w:t>
      </w:r>
    </w:p>
    <w:p w14:paraId="40C8F9EE" w14:textId="77777777" w:rsidR="00AD0FA2" w:rsidRPr="00AD0FA2" w:rsidRDefault="00AD0FA2" w:rsidP="00AD0FA2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AD0FA2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7928EF08" w14:textId="77777777" w:rsidR="00AD0FA2" w:rsidRPr="00AD0FA2" w:rsidRDefault="00AD0FA2" w:rsidP="00AD0FA2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AD0FA2">
        <w:rPr>
          <w:rFonts w:eastAsia="Times New Roman" w:cstheme="minorHAnsi"/>
          <w:color w:val="000000"/>
          <w:sz w:val="24"/>
          <w:szCs w:val="24"/>
          <w:lang w:eastAsia="pt-BR"/>
        </w:rPr>
        <w:t>...........................................................................................................................................</w:t>
      </w:r>
    </w:p>
    <w:p w14:paraId="3267025D" w14:textId="77777777" w:rsidR="00AD0FA2" w:rsidRPr="00AD0FA2" w:rsidRDefault="00AD0FA2" w:rsidP="00AD0FA2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AD0FA2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 </w:t>
      </w:r>
    </w:p>
    <w:p w14:paraId="34D27863" w14:textId="77777777" w:rsidR="00AD0FA2" w:rsidRPr="00AD0FA2" w:rsidRDefault="00AD0FA2" w:rsidP="00AD0FA2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AD0FA2">
        <w:rPr>
          <w:rFonts w:eastAsia="Times New Roman" w:cstheme="minorHAnsi"/>
          <w:color w:val="000000"/>
          <w:sz w:val="24"/>
          <w:szCs w:val="24"/>
          <w:lang w:eastAsia="pt-BR"/>
        </w:rPr>
        <w:t>Art. 65. O contribuinte que requerer o parcelamento deverá:” (NR).</w:t>
      </w:r>
    </w:p>
    <w:p w14:paraId="09613633" w14:textId="77777777" w:rsidR="00AD0FA2" w:rsidRPr="00AD0FA2" w:rsidRDefault="00AD0FA2" w:rsidP="00AD0FA2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AD0FA2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7168F9E6" w14:textId="77777777" w:rsidR="00AD0FA2" w:rsidRPr="00AD0FA2" w:rsidRDefault="00AD0FA2" w:rsidP="00AD0FA2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AD0FA2">
        <w:rPr>
          <w:rFonts w:eastAsia="Times New Roman" w:cstheme="minorHAnsi"/>
          <w:color w:val="000000"/>
          <w:sz w:val="24"/>
          <w:szCs w:val="24"/>
          <w:lang w:eastAsia="pt-BR"/>
        </w:rPr>
        <w:t>Art. 2°  Acresce os incisos I e II e os §§ 1° ao 4° ao art. 65 do RICMS/RO, aprovado pelo Decreto n° 22.721, de 2018, com a seguinte redação:</w:t>
      </w:r>
    </w:p>
    <w:p w14:paraId="6347CF4F" w14:textId="77777777" w:rsidR="00AD0FA2" w:rsidRPr="00AD0FA2" w:rsidRDefault="00AD0FA2" w:rsidP="00AD0FA2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AD0FA2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54E8F31F" w14:textId="77777777" w:rsidR="00AD0FA2" w:rsidRPr="00AD0FA2" w:rsidRDefault="00AD0FA2" w:rsidP="00AD0FA2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AD0FA2">
        <w:rPr>
          <w:rFonts w:eastAsia="Times New Roman" w:cstheme="minorHAnsi"/>
          <w:color w:val="000000"/>
          <w:sz w:val="24"/>
          <w:szCs w:val="24"/>
          <w:lang w:eastAsia="pt-BR"/>
        </w:rPr>
        <w:t>“Art. 65.  ............................................................................................................................</w:t>
      </w:r>
    </w:p>
    <w:p w14:paraId="07C3DBE9" w14:textId="77777777" w:rsidR="00AD0FA2" w:rsidRPr="00AD0FA2" w:rsidRDefault="00AD0FA2" w:rsidP="00AD0FA2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AD0FA2">
        <w:rPr>
          <w:rFonts w:eastAsia="Times New Roman" w:cstheme="minorHAnsi"/>
          <w:color w:val="000000"/>
          <w:sz w:val="24"/>
          <w:szCs w:val="24"/>
          <w:lang w:eastAsia="pt-BR"/>
        </w:rPr>
        <w:lastRenderedPageBreak/>
        <w:t> </w:t>
      </w:r>
    </w:p>
    <w:p w14:paraId="7FD81F7B" w14:textId="77777777" w:rsidR="00AD0FA2" w:rsidRPr="00AD0FA2" w:rsidRDefault="00AD0FA2" w:rsidP="00AD0FA2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AD0FA2">
        <w:rPr>
          <w:rFonts w:eastAsia="Times New Roman" w:cstheme="minorHAnsi"/>
          <w:color w:val="000000"/>
          <w:sz w:val="24"/>
          <w:szCs w:val="24"/>
          <w:lang w:eastAsia="pt-BR"/>
        </w:rPr>
        <w:t>I - estar em atividade há mais de 6 (seis) meses ininterruptos, comprovados por movimentação fiscal no referido período; e</w:t>
      </w:r>
    </w:p>
    <w:p w14:paraId="213CA779" w14:textId="77777777" w:rsidR="00AD0FA2" w:rsidRPr="00AD0FA2" w:rsidRDefault="00AD0FA2" w:rsidP="00AD0FA2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AD0FA2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2EF1951D" w14:textId="77777777" w:rsidR="00AD0FA2" w:rsidRPr="00AD0FA2" w:rsidRDefault="00AD0FA2" w:rsidP="00AD0FA2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AD0FA2">
        <w:rPr>
          <w:rFonts w:eastAsia="Times New Roman" w:cstheme="minorHAnsi"/>
          <w:color w:val="000000"/>
          <w:sz w:val="24"/>
          <w:szCs w:val="24"/>
          <w:lang w:eastAsia="pt-BR"/>
        </w:rPr>
        <w:t>II - possuir proporção entre as saídas e entradas dos últimos 6 (seis) meses, anteriores ao parcelamento, maior que 0 (zero).</w:t>
      </w:r>
    </w:p>
    <w:p w14:paraId="04F2504E" w14:textId="77777777" w:rsidR="00AD0FA2" w:rsidRPr="00AD0FA2" w:rsidRDefault="00AD0FA2" w:rsidP="00AD0FA2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AD0FA2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5EFF80D9" w14:textId="77777777" w:rsidR="00AD0FA2" w:rsidRPr="00AD0FA2" w:rsidRDefault="00AD0FA2" w:rsidP="00AD0FA2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AD0FA2">
        <w:rPr>
          <w:rFonts w:eastAsia="Times New Roman" w:cstheme="minorHAnsi"/>
          <w:color w:val="000000"/>
          <w:sz w:val="24"/>
          <w:szCs w:val="24"/>
          <w:lang w:eastAsia="pt-BR"/>
        </w:rPr>
        <w:t>§ 1°  O contribuinte que não atenda aos requisitos estabelecidos nos incisos do</w:t>
      </w:r>
      <w:r w:rsidRPr="00AD0FA2">
        <w:rPr>
          <w:rFonts w:eastAsia="Times New Roman" w:cstheme="minorHAnsi"/>
          <w:i/>
          <w:iCs/>
          <w:color w:val="000000"/>
          <w:sz w:val="24"/>
          <w:szCs w:val="24"/>
          <w:lang w:eastAsia="pt-BR"/>
        </w:rPr>
        <w:t> </w:t>
      </w:r>
      <w:r w:rsidRPr="00AD0FA2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caput</w:t>
      </w:r>
      <w:r w:rsidRPr="00AD0FA2">
        <w:rPr>
          <w:rFonts w:eastAsia="Times New Roman" w:cstheme="minorHAnsi"/>
          <w:color w:val="000000"/>
          <w:sz w:val="24"/>
          <w:szCs w:val="24"/>
          <w:lang w:eastAsia="pt-BR"/>
        </w:rPr>
        <w:t> poderá requerer o parcelamento ofertando uma garantia na forma disposta no art. 71 deste Regulamento. </w:t>
      </w:r>
    </w:p>
    <w:p w14:paraId="0AFEEDBC" w14:textId="77777777" w:rsidR="00AD0FA2" w:rsidRPr="00AD0FA2" w:rsidRDefault="00AD0FA2" w:rsidP="00AD0FA2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AD0FA2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70F30429" w14:textId="77777777" w:rsidR="00AD0FA2" w:rsidRPr="00AD0FA2" w:rsidRDefault="00AD0FA2" w:rsidP="00AD0FA2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AD0FA2">
        <w:rPr>
          <w:rFonts w:eastAsia="Times New Roman" w:cstheme="minorHAnsi"/>
          <w:color w:val="000000"/>
          <w:sz w:val="24"/>
          <w:szCs w:val="24"/>
          <w:lang w:eastAsia="pt-BR"/>
        </w:rPr>
        <w:t>§ 2°  É vedado o parcelamento do crédito tributário decorrente da aplicação do benefício fiscal previsto na Lei n° 1.473, de 13 de maio de 2005, referente ao total do imposto devido resultante da apuração mensal, ressalvada a hipótese do crédito tributário lançado em decorrência de monitoramento ou de ação fiscal, o qual poderá ser parcelado mediante o protocolo de pedido na repartição fiscal da circunscrição do sujeito passivo, que será encaminhado para autorização da formalização do parcelamento, a depender do valor do crédito tributário, à respectiva autoridade administrativa consoante divisão esculpida no § 2° do art. 101, do Anexo XII deste Regulamento, observado que:</w:t>
      </w:r>
    </w:p>
    <w:p w14:paraId="35F381F2" w14:textId="77777777" w:rsidR="00AD0FA2" w:rsidRPr="00AD0FA2" w:rsidRDefault="00AD0FA2" w:rsidP="00AD0FA2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AD0FA2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59CCEDDD" w14:textId="77777777" w:rsidR="00AD0FA2" w:rsidRPr="00AD0FA2" w:rsidRDefault="00AD0FA2" w:rsidP="00AD0FA2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AD0FA2">
        <w:rPr>
          <w:rFonts w:eastAsia="Times New Roman" w:cstheme="minorHAnsi"/>
          <w:color w:val="000000"/>
          <w:sz w:val="24"/>
          <w:szCs w:val="24"/>
          <w:lang w:eastAsia="pt-BR"/>
        </w:rPr>
        <w:t>I - quando o crédito tributário for de até 50 UPF/RO, a análise e a respectiva aprovação será pelo Agente de Rendas; e</w:t>
      </w:r>
    </w:p>
    <w:p w14:paraId="25CE2608" w14:textId="77777777" w:rsidR="00AD0FA2" w:rsidRPr="00AD0FA2" w:rsidRDefault="00AD0FA2" w:rsidP="00AD0FA2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AD0FA2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7095C636" w14:textId="77777777" w:rsidR="00AD0FA2" w:rsidRPr="00AD0FA2" w:rsidRDefault="00AD0FA2" w:rsidP="00AD0FA2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AD0FA2">
        <w:rPr>
          <w:rFonts w:eastAsia="Times New Roman" w:cstheme="minorHAnsi"/>
          <w:color w:val="000000"/>
          <w:sz w:val="24"/>
          <w:szCs w:val="24"/>
          <w:lang w:eastAsia="pt-BR"/>
        </w:rPr>
        <w:t>II - nos demais casos, a análise será por AFTE com a respectiva aprovação pelo Delegado Regional.</w:t>
      </w:r>
    </w:p>
    <w:p w14:paraId="3CE2067F" w14:textId="77777777" w:rsidR="00AD0FA2" w:rsidRPr="00AD0FA2" w:rsidRDefault="00AD0FA2" w:rsidP="00AD0FA2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AD0FA2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461FF9CC" w14:textId="77777777" w:rsidR="00AD0FA2" w:rsidRPr="00AD0FA2" w:rsidRDefault="00AD0FA2" w:rsidP="00AD0FA2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AD0FA2">
        <w:rPr>
          <w:rFonts w:eastAsia="Times New Roman" w:cstheme="minorHAnsi"/>
          <w:color w:val="000000"/>
          <w:sz w:val="24"/>
          <w:szCs w:val="24"/>
          <w:lang w:eastAsia="pt-BR"/>
        </w:rPr>
        <w:t>§ 3°  Obedecidos os limites estipulados e condições previstas nesta Seção, o parcelamento será feito pelo contribuinte mediante acesso à área restrita do sítio eletrônico da SEFIN na internet, com o uso de certificado digital ou senha pessoal fornecida por unidade de atendimento da CRE.</w:t>
      </w:r>
    </w:p>
    <w:p w14:paraId="53BEE1C6" w14:textId="77777777" w:rsidR="00AD0FA2" w:rsidRPr="00AD0FA2" w:rsidRDefault="00AD0FA2" w:rsidP="00AD0FA2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AD0FA2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5CE83A86" w14:textId="77777777" w:rsidR="00AD0FA2" w:rsidRPr="00AD0FA2" w:rsidRDefault="00AD0FA2" w:rsidP="00AD0FA2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AD0FA2">
        <w:rPr>
          <w:rFonts w:eastAsia="Times New Roman" w:cstheme="minorHAnsi"/>
          <w:color w:val="000000"/>
          <w:sz w:val="24"/>
          <w:szCs w:val="24"/>
          <w:lang w:eastAsia="pt-BR"/>
        </w:rPr>
        <w:t>§ 4°  Ato do Coordenador-Geral da Receita Estadual poderá disciplinar procedimentos complementares aos previstos nesta Seção.” (NR).</w:t>
      </w:r>
    </w:p>
    <w:p w14:paraId="541A1F77" w14:textId="77777777" w:rsidR="00AD0FA2" w:rsidRPr="00AD0FA2" w:rsidRDefault="00AD0FA2" w:rsidP="00AD0FA2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AD0FA2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0935EA95" w14:textId="77777777" w:rsidR="00AD0FA2" w:rsidRPr="00AD0FA2" w:rsidRDefault="00AD0FA2" w:rsidP="00AD0FA2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AD0FA2">
        <w:rPr>
          <w:rFonts w:eastAsia="Times New Roman" w:cstheme="minorHAnsi"/>
          <w:color w:val="000000"/>
          <w:sz w:val="24"/>
          <w:szCs w:val="24"/>
          <w:lang w:eastAsia="pt-BR"/>
        </w:rPr>
        <w:t>Art. 3°</w:t>
      </w:r>
      <w:r w:rsidRPr="00AD0FA2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  </w:t>
      </w:r>
      <w:r w:rsidRPr="00AD0FA2">
        <w:rPr>
          <w:rFonts w:eastAsia="Times New Roman" w:cstheme="minorHAnsi"/>
          <w:color w:val="000000"/>
          <w:sz w:val="24"/>
          <w:szCs w:val="24"/>
          <w:lang w:eastAsia="pt-BR"/>
        </w:rPr>
        <w:t>Este Decreto entra em vigor na data de sua publicação, aplicando-se:</w:t>
      </w:r>
    </w:p>
    <w:p w14:paraId="7474FB24" w14:textId="77777777" w:rsidR="00AD0FA2" w:rsidRPr="00AD0FA2" w:rsidRDefault="00AD0FA2" w:rsidP="00AD0FA2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AD0FA2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46D389F1" w14:textId="77777777" w:rsidR="00AD0FA2" w:rsidRPr="00AD0FA2" w:rsidRDefault="00AD0FA2" w:rsidP="00AD0FA2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AD0FA2">
        <w:rPr>
          <w:rFonts w:eastAsia="Times New Roman" w:cstheme="minorHAnsi"/>
          <w:color w:val="000000"/>
          <w:sz w:val="24"/>
          <w:szCs w:val="24"/>
          <w:lang w:eastAsia="pt-BR"/>
        </w:rPr>
        <w:t>I - em relação a alínea “d” do</w:t>
      </w:r>
      <w:r w:rsidRPr="00AD0FA2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 </w:t>
      </w:r>
      <w:r w:rsidRPr="00AD0FA2">
        <w:rPr>
          <w:rFonts w:eastAsia="Times New Roman" w:cstheme="minorHAnsi"/>
          <w:color w:val="000000"/>
          <w:sz w:val="24"/>
          <w:szCs w:val="24"/>
          <w:lang w:eastAsia="pt-BR"/>
        </w:rPr>
        <w:t>inciso I do § 2° do art. 57 do RICMS, aos parcelamentos referentes aos códigos especificados, a partir da publicação; e</w:t>
      </w:r>
    </w:p>
    <w:p w14:paraId="3C5FB1C0" w14:textId="77777777" w:rsidR="00AD0FA2" w:rsidRPr="00AD0FA2" w:rsidRDefault="00AD0FA2" w:rsidP="00AD0FA2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AD0FA2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3E32EC5D" w14:textId="77777777" w:rsidR="00AD0FA2" w:rsidRPr="00AD0FA2" w:rsidRDefault="00AD0FA2" w:rsidP="00AD0FA2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AD0FA2">
        <w:rPr>
          <w:rFonts w:eastAsia="Times New Roman" w:cstheme="minorHAnsi"/>
          <w:color w:val="000000"/>
          <w:sz w:val="24"/>
          <w:szCs w:val="24"/>
          <w:lang w:eastAsia="pt-BR"/>
        </w:rPr>
        <w:t>II - aos demais dispositivos, a partir da publicação.</w:t>
      </w:r>
    </w:p>
    <w:p w14:paraId="42A28EEA" w14:textId="77777777" w:rsidR="00AD0FA2" w:rsidRPr="00AD0FA2" w:rsidRDefault="00AD0FA2" w:rsidP="00AD0FA2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AD0FA2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71518CC2" w14:textId="77777777" w:rsidR="00AD0FA2" w:rsidRPr="00AD0FA2" w:rsidRDefault="00AD0FA2" w:rsidP="00AD0FA2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AD0FA2">
        <w:rPr>
          <w:rFonts w:eastAsia="Times New Roman" w:cstheme="minorHAnsi"/>
          <w:color w:val="000000"/>
          <w:sz w:val="24"/>
          <w:szCs w:val="24"/>
          <w:lang w:eastAsia="pt-BR"/>
        </w:rPr>
        <w:t>Palácio do Governo do Estado de Rondônia, em 15 de junho de 2022, 134° da República.</w:t>
      </w:r>
    </w:p>
    <w:p w14:paraId="6091E1F0" w14:textId="77777777" w:rsidR="00AD0FA2" w:rsidRPr="00AD0FA2" w:rsidRDefault="00AD0FA2" w:rsidP="00AD0FA2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AD0FA2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5795B0F1" w14:textId="77777777" w:rsidR="00AD0FA2" w:rsidRPr="00AD0FA2" w:rsidRDefault="00AD0FA2" w:rsidP="00AD0FA2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AD0FA2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24B1F7F3" w14:textId="77777777" w:rsidR="00AD0FA2" w:rsidRPr="00AD0FA2" w:rsidRDefault="00AD0FA2" w:rsidP="00AD0FA2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AD0FA2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5A81FC6B" w14:textId="77777777" w:rsidR="00AD0FA2" w:rsidRPr="00AD0FA2" w:rsidRDefault="00AD0FA2" w:rsidP="00AD0FA2">
      <w:pPr>
        <w:spacing w:after="0" w:line="240" w:lineRule="auto"/>
        <w:ind w:left="60" w:right="6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AD0FA2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MARCOS JOSÉ ROCHA DOS SANTOS</w:t>
      </w:r>
    </w:p>
    <w:p w14:paraId="47BD783A" w14:textId="77777777" w:rsidR="00AD0FA2" w:rsidRPr="00AD0FA2" w:rsidRDefault="00AD0FA2" w:rsidP="00AD0FA2">
      <w:pPr>
        <w:spacing w:after="0" w:line="240" w:lineRule="auto"/>
        <w:ind w:left="60" w:right="6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AD0FA2">
        <w:rPr>
          <w:rFonts w:eastAsia="Times New Roman" w:cstheme="minorHAnsi"/>
          <w:color w:val="000000"/>
          <w:sz w:val="24"/>
          <w:szCs w:val="24"/>
          <w:lang w:eastAsia="pt-BR"/>
        </w:rPr>
        <w:t>Governador</w:t>
      </w:r>
    </w:p>
    <w:p w14:paraId="4ABA1D5D" w14:textId="77777777" w:rsidR="00AD0FA2" w:rsidRPr="00AD0FA2" w:rsidRDefault="00AD0FA2" w:rsidP="00AD0FA2">
      <w:pPr>
        <w:spacing w:after="0" w:line="240" w:lineRule="auto"/>
        <w:ind w:left="60" w:right="6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AD0FA2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61055FE3" w14:textId="77777777" w:rsidR="00AD0FA2" w:rsidRPr="00AD0FA2" w:rsidRDefault="00AD0FA2" w:rsidP="00AD0FA2">
      <w:pPr>
        <w:spacing w:after="0" w:line="240" w:lineRule="auto"/>
        <w:ind w:left="60" w:right="6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AD0FA2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263C5EE8" w14:textId="77777777" w:rsidR="00AD0FA2" w:rsidRPr="00AD0FA2" w:rsidRDefault="00AD0FA2" w:rsidP="00AD0FA2">
      <w:pPr>
        <w:spacing w:after="0" w:line="240" w:lineRule="auto"/>
        <w:ind w:left="60" w:right="6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AD0FA2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LUÍS FERNANDO PEREIRA DA SILVA</w:t>
      </w:r>
    </w:p>
    <w:p w14:paraId="7511C325" w14:textId="77777777" w:rsidR="00AD0FA2" w:rsidRPr="00AD0FA2" w:rsidRDefault="00AD0FA2" w:rsidP="00AD0FA2">
      <w:pPr>
        <w:spacing w:after="0" w:line="240" w:lineRule="auto"/>
        <w:ind w:left="60" w:right="6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AD0FA2">
        <w:rPr>
          <w:rFonts w:eastAsia="Times New Roman" w:cstheme="minorHAnsi"/>
          <w:color w:val="000000"/>
          <w:sz w:val="24"/>
          <w:szCs w:val="24"/>
          <w:lang w:eastAsia="pt-BR"/>
        </w:rPr>
        <w:t>Secretário de Estado de Finanças</w:t>
      </w:r>
    </w:p>
    <w:p w14:paraId="45784C9D" w14:textId="77777777" w:rsidR="00AD0FA2" w:rsidRPr="00AD0FA2" w:rsidRDefault="00AD0FA2" w:rsidP="00AD0FA2">
      <w:pPr>
        <w:spacing w:after="0" w:line="240" w:lineRule="auto"/>
        <w:ind w:left="60" w:right="6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AD0FA2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33200BB6" w14:textId="77777777" w:rsidR="00AD0FA2" w:rsidRPr="00AD0FA2" w:rsidRDefault="00AD0FA2" w:rsidP="00AD0FA2">
      <w:pPr>
        <w:spacing w:after="60" w:line="240" w:lineRule="auto"/>
        <w:rPr>
          <w:rFonts w:eastAsia="Times New Roman" w:cstheme="minorHAnsi"/>
          <w:color w:val="000000"/>
          <w:sz w:val="20"/>
          <w:szCs w:val="20"/>
          <w:lang w:eastAsia="pt-BR"/>
        </w:rPr>
      </w:pPr>
      <w:r w:rsidRPr="00AD0FA2">
        <w:rPr>
          <w:rFonts w:eastAsia="Times New Roman" w:cstheme="minorHAnsi"/>
          <w:color w:val="000000"/>
          <w:sz w:val="20"/>
          <w:szCs w:val="20"/>
          <w:lang w:eastAsia="pt-BR"/>
        </w:rPr>
        <w:pict w14:anchorId="19B68CCF">
          <v:rect id="_x0000_i1026" style="width:0;height:1.5pt" o:hralign="center" o:hrstd="t" o:hr="t" fillcolor="#a0a0a0" stroked="f"/>
        </w:pic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425"/>
        <w:gridCol w:w="9347"/>
      </w:tblGrid>
      <w:tr w:rsidR="00AD0FA2" w:rsidRPr="00AD0FA2" w14:paraId="4D023433" w14:textId="77777777" w:rsidTr="00AD0FA2">
        <w:trPr>
          <w:tblCellSpacing w:w="15" w:type="dxa"/>
        </w:trPr>
        <w:tc>
          <w:tcPr>
            <w:tcW w:w="0" w:type="auto"/>
            <w:vAlign w:val="center"/>
            <w:hideMark/>
          </w:tcPr>
          <w:p w14:paraId="6F6E1570" w14:textId="342BDDA7" w:rsidR="00AD0FA2" w:rsidRPr="00AD0FA2" w:rsidRDefault="00AD0FA2" w:rsidP="00AD0FA2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  <w:lang w:eastAsia="pt-BR"/>
              </w:rPr>
            </w:pPr>
            <w:r w:rsidRPr="00AD0FA2">
              <w:rPr>
                <w:rFonts w:cstheme="minorHAnsi"/>
                <w:noProof/>
                <w:sz w:val="20"/>
                <w:szCs w:val="20"/>
              </w:rPr>
              <w:drawing>
                <wp:inline distT="0" distB="0" distL="0" distR="0" wp14:anchorId="0B44AAC8" wp14:editId="794055E3">
                  <wp:extent cx="847725" cy="571500"/>
                  <wp:effectExtent l="0" t="0" r="9525" b="0"/>
                  <wp:docPr id="3" name="Imagem 3" descr="Interface gráfica do usuário&#10;&#10;Descrição gerada automaticament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Imagem 3" descr="Interface gráfica do usuário&#10;&#10;Descrição gerada automaticamente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47725" cy="5715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vAlign w:val="center"/>
            <w:hideMark/>
          </w:tcPr>
          <w:p w14:paraId="6D395F19" w14:textId="77777777" w:rsidR="00AD0FA2" w:rsidRPr="00AD0FA2" w:rsidRDefault="00AD0FA2" w:rsidP="00AD0FA2">
            <w:pPr>
              <w:spacing w:after="0" w:line="240" w:lineRule="auto"/>
              <w:jc w:val="both"/>
              <w:rPr>
                <w:rFonts w:eastAsia="Times New Roman" w:cstheme="minorHAnsi"/>
                <w:sz w:val="20"/>
                <w:szCs w:val="20"/>
                <w:lang w:eastAsia="pt-BR"/>
              </w:rPr>
            </w:pPr>
            <w:r w:rsidRPr="00AD0FA2">
              <w:rPr>
                <w:rFonts w:eastAsia="Times New Roman" w:cstheme="minorHAnsi"/>
                <w:sz w:val="20"/>
                <w:szCs w:val="20"/>
                <w:lang w:eastAsia="pt-BR"/>
              </w:rPr>
              <w:t>Documento assinado eletronicamente por </w:t>
            </w:r>
            <w:r w:rsidRPr="00AD0FA2">
              <w:rPr>
                <w:rFonts w:eastAsia="Times New Roman" w:cstheme="minorHAnsi"/>
                <w:b/>
                <w:bCs/>
                <w:sz w:val="20"/>
                <w:szCs w:val="20"/>
                <w:lang w:eastAsia="pt-BR"/>
              </w:rPr>
              <w:t>Luis Fernando Pereira da Silva</w:t>
            </w:r>
            <w:r w:rsidRPr="00AD0FA2">
              <w:rPr>
                <w:rFonts w:eastAsia="Times New Roman" w:cstheme="minorHAnsi"/>
                <w:sz w:val="20"/>
                <w:szCs w:val="20"/>
                <w:lang w:eastAsia="pt-BR"/>
              </w:rPr>
              <w:t>, </w:t>
            </w:r>
            <w:r w:rsidRPr="00AD0FA2">
              <w:rPr>
                <w:rFonts w:eastAsia="Times New Roman" w:cstheme="minorHAnsi"/>
                <w:b/>
                <w:bCs/>
                <w:sz w:val="20"/>
                <w:szCs w:val="20"/>
                <w:lang w:eastAsia="pt-BR"/>
              </w:rPr>
              <w:t>Secretário(a)</w:t>
            </w:r>
            <w:r w:rsidRPr="00AD0FA2">
              <w:rPr>
                <w:rFonts w:eastAsia="Times New Roman" w:cstheme="minorHAnsi"/>
                <w:sz w:val="20"/>
                <w:szCs w:val="20"/>
                <w:lang w:eastAsia="pt-BR"/>
              </w:rPr>
              <w:t>, em 15/06/2022, às 19:36, conforme horário oficial de Brasília, com fundamento no artigo 18 caput e seus §§ 1º e 2º, do </w:t>
            </w:r>
            <w:hyperlink r:id="rId6" w:tgtFrame="_blank" w:tooltip="Acesse o Decreto" w:history="1">
              <w:r w:rsidRPr="00AD0FA2">
                <w:rPr>
                  <w:rFonts w:eastAsia="Times New Roman" w:cstheme="minorHAnsi"/>
                  <w:color w:val="0000FF"/>
                  <w:sz w:val="20"/>
                  <w:szCs w:val="20"/>
                  <w:u w:val="single"/>
                  <w:lang w:eastAsia="pt-BR"/>
                </w:rPr>
                <w:t>Decreto nº 21.794, de 5 Abril de 2017.</w:t>
              </w:r>
            </w:hyperlink>
          </w:p>
        </w:tc>
      </w:tr>
    </w:tbl>
    <w:p w14:paraId="68995494" w14:textId="77777777" w:rsidR="00AD0FA2" w:rsidRPr="00AD0FA2" w:rsidRDefault="00AD0FA2" w:rsidP="00AD0FA2">
      <w:pPr>
        <w:spacing w:after="60" w:line="240" w:lineRule="auto"/>
        <w:rPr>
          <w:rFonts w:eastAsia="Times New Roman" w:cstheme="minorHAnsi"/>
          <w:color w:val="000000"/>
          <w:sz w:val="20"/>
          <w:szCs w:val="20"/>
          <w:lang w:eastAsia="pt-BR"/>
        </w:rPr>
      </w:pPr>
      <w:r w:rsidRPr="00AD0FA2">
        <w:rPr>
          <w:rFonts w:eastAsia="Times New Roman" w:cstheme="minorHAnsi"/>
          <w:color w:val="000000"/>
          <w:sz w:val="20"/>
          <w:szCs w:val="20"/>
          <w:lang w:eastAsia="pt-BR"/>
        </w:rPr>
        <w:lastRenderedPageBreak/>
        <w:pict w14:anchorId="64587C5E">
          <v:rect id="_x0000_i1028" style="width:0;height:1.5pt" o:hralign="center" o:hrstd="t" o:hr="t" fillcolor="#a0a0a0" stroked="f"/>
        </w:pic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425"/>
        <w:gridCol w:w="9347"/>
      </w:tblGrid>
      <w:tr w:rsidR="00AD0FA2" w:rsidRPr="00AD0FA2" w14:paraId="52A5F220" w14:textId="77777777" w:rsidTr="00AD0FA2">
        <w:trPr>
          <w:tblCellSpacing w:w="15" w:type="dxa"/>
        </w:trPr>
        <w:tc>
          <w:tcPr>
            <w:tcW w:w="0" w:type="auto"/>
            <w:vAlign w:val="center"/>
            <w:hideMark/>
          </w:tcPr>
          <w:p w14:paraId="5D4E999D" w14:textId="092E62C0" w:rsidR="00AD0FA2" w:rsidRPr="00AD0FA2" w:rsidRDefault="00AD0FA2" w:rsidP="00AD0FA2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  <w:lang w:eastAsia="pt-BR"/>
              </w:rPr>
            </w:pPr>
            <w:r w:rsidRPr="00AD0FA2">
              <w:rPr>
                <w:rFonts w:cstheme="minorHAnsi"/>
                <w:noProof/>
                <w:sz w:val="20"/>
                <w:szCs w:val="20"/>
              </w:rPr>
              <w:drawing>
                <wp:inline distT="0" distB="0" distL="0" distR="0" wp14:anchorId="31A80774" wp14:editId="162E4C36">
                  <wp:extent cx="847725" cy="571500"/>
                  <wp:effectExtent l="0" t="0" r="9525" b="0"/>
                  <wp:docPr id="2" name="Imagem 2" descr="Interface gráfica do usuário&#10;&#10;Descrição gerada automaticament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Imagem 2" descr="Interface gráfica do usuário&#10;&#10;Descrição gerada automaticamente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47725" cy="5715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vAlign w:val="center"/>
            <w:hideMark/>
          </w:tcPr>
          <w:p w14:paraId="2B6812CC" w14:textId="77777777" w:rsidR="00AD0FA2" w:rsidRPr="00AD0FA2" w:rsidRDefault="00AD0FA2" w:rsidP="00AD0FA2">
            <w:pPr>
              <w:spacing w:after="0" w:line="240" w:lineRule="auto"/>
              <w:jc w:val="both"/>
              <w:rPr>
                <w:rFonts w:eastAsia="Times New Roman" w:cstheme="minorHAnsi"/>
                <w:sz w:val="20"/>
                <w:szCs w:val="20"/>
                <w:lang w:eastAsia="pt-BR"/>
              </w:rPr>
            </w:pPr>
            <w:r w:rsidRPr="00AD0FA2">
              <w:rPr>
                <w:rFonts w:eastAsia="Times New Roman" w:cstheme="minorHAnsi"/>
                <w:sz w:val="20"/>
                <w:szCs w:val="20"/>
                <w:lang w:eastAsia="pt-BR"/>
              </w:rPr>
              <w:t>Documento assinado eletronicamente por </w:t>
            </w:r>
            <w:r w:rsidRPr="00AD0FA2">
              <w:rPr>
                <w:rFonts w:eastAsia="Times New Roman" w:cstheme="minorHAnsi"/>
                <w:b/>
                <w:bCs/>
                <w:sz w:val="20"/>
                <w:szCs w:val="20"/>
                <w:lang w:eastAsia="pt-BR"/>
              </w:rPr>
              <w:t>Marcos José Rocha dos Santos</w:t>
            </w:r>
            <w:r w:rsidRPr="00AD0FA2">
              <w:rPr>
                <w:rFonts w:eastAsia="Times New Roman" w:cstheme="minorHAnsi"/>
                <w:sz w:val="20"/>
                <w:szCs w:val="20"/>
                <w:lang w:eastAsia="pt-BR"/>
              </w:rPr>
              <w:t>, </w:t>
            </w:r>
            <w:r w:rsidRPr="00AD0FA2">
              <w:rPr>
                <w:rFonts w:eastAsia="Times New Roman" w:cstheme="minorHAnsi"/>
                <w:b/>
                <w:bCs/>
                <w:sz w:val="20"/>
                <w:szCs w:val="20"/>
                <w:lang w:eastAsia="pt-BR"/>
              </w:rPr>
              <w:t>Governador</w:t>
            </w:r>
            <w:r w:rsidRPr="00AD0FA2">
              <w:rPr>
                <w:rFonts w:eastAsia="Times New Roman" w:cstheme="minorHAnsi"/>
                <w:sz w:val="20"/>
                <w:szCs w:val="20"/>
                <w:lang w:eastAsia="pt-BR"/>
              </w:rPr>
              <w:t>, em 17/06/2022, às 09:42, conforme horário oficial de Brasília, com fundamento no artigo 18 caput e seus §§ 1º e 2º, do </w:t>
            </w:r>
            <w:hyperlink r:id="rId7" w:tgtFrame="_blank" w:tooltip="Acesse o Decreto" w:history="1">
              <w:r w:rsidRPr="00AD0FA2">
                <w:rPr>
                  <w:rFonts w:eastAsia="Times New Roman" w:cstheme="minorHAnsi"/>
                  <w:color w:val="0000FF"/>
                  <w:sz w:val="20"/>
                  <w:szCs w:val="20"/>
                  <w:u w:val="single"/>
                  <w:lang w:eastAsia="pt-BR"/>
                </w:rPr>
                <w:t>Decreto nº 21.794, de 5 Abril de 2017.</w:t>
              </w:r>
            </w:hyperlink>
          </w:p>
        </w:tc>
      </w:tr>
    </w:tbl>
    <w:p w14:paraId="4346A38C" w14:textId="77777777" w:rsidR="00AD0FA2" w:rsidRPr="00AD0FA2" w:rsidRDefault="00AD0FA2" w:rsidP="00AD0FA2">
      <w:pPr>
        <w:spacing w:after="60" w:line="240" w:lineRule="auto"/>
        <w:rPr>
          <w:rFonts w:eastAsia="Times New Roman" w:cstheme="minorHAnsi"/>
          <w:color w:val="000000"/>
          <w:sz w:val="20"/>
          <w:szCs w:val="20"/>
          <w:lang w:eastAsia="pt-BR"/>
        </w:rPr>
      </w:pPr>
      <w:r w:rsidRPr="00AD0FA2">
        <w:rPr>
          <w:rFonts w:eastAsia="Times New Roman" w:cstheme="minorHAnsi"/>
          <w:color w:val="000000"/>
          <w:sz w:val="20"/>
          <w:szCs w:val="20"/>
          <w:lang w:eastAsia="pt-BR"/>
        </w:rPr>
        <w:pict w14:anchorId="1632B6CC">
          <v:rect id="_x0000_i1030" style="width:0;height:1.5pt" o:hralign="center" o:hrstd="t" o:hr="t" fillcolor="#a0a0a0" stroked="f"/>
        </w:pic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365"/>
        <w:gridCol w:w="9407"/>
      </w:tblGrid>
      <w:tr w:rsidR="00AD0FA2" w:rsidRPr="00AD0FA2" w14:paraId="0D9BF745" w14:textId="77777777" w:rsidTr="00AD0FA2">
        <w:trPr>
          <w:tblCellSpacing w:w="15" w:type="dxa"/>
        </w:trPr>
        <w:tc>
          <w:tcPr>
            <w:tcW w:w="0" w:type="auto"/>
            <w:vAlign w:val="center"/>
            <w:hideMark/>
          </w:tcPr>
          <w:p w14:paraId="07FCF73F" w14:textId="5635FA85" w:rsidR="00AD0FA2" w:rsidRPr="00AD0FA2" w:rsidRDefault="00AD0FA2" w:rsidP="00AD0FA2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  <w:lang w:eastAsia="pt-BR"/>
              </w:rPr>
            </w:pPr>
            <w:r w:rsidRPr="00AD0FA2">
              <w:rPr>
                <w:rFonts w:cstheme="minorHAnsi"/>
                <w:noProof/>
                <w:sz w:val="20"/>
                <w:szCs w:val="20"/>
              </w:rPr>
              <w:drawing>
                <wp:inline distT="0" distB="0" distL="0" distR="0" wp14:anchorId="329B78CA" wp14:editId="4662C540">
                  <wp:extent cx="819150" cy="819150"/>
                  <wp:effectExtent l="0" t="0" r="0" b="0"/>
                  <wp:docPr id="1" name="Imagem 1" descr="Código QR&#10;&#10;Descrição gerada automaticament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Imagem 1" descr="Código QR&#10;&#10;Descrição gerada automaticamente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19150" cy="8191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vAlign w:val="center"/>
            <w:hideMark/>
          </w:tcPr>
          <w:p w14:paraId="0EA5E702" w14:textId="77777777" w:rsidR="00AD0FA2" w:rsidRPr="00AD0FA2" w:rsidRDefault="00AD0FA2" w:rsidP="00AD0FA2">
            <w:pPr>
              <w:spacing w:after="0" w:line="240" w:lineRule="auto"/>
              <w:jc w:val="both"/>
              <w:rPr>
                <w:rFonts w:eastAsia="Times New Roman" w:cstheme="minorHAnsi"/>
                <w:sz w:val="20"/>
                <w:szCs w:val="20"/>
                <w:lang w:eastAsia="pt-BR"/>
              </w:rPr>
            </w:pPr>
            <w:r w:rsidRPr="00AD0FA2">
              <w:rPr>
                <w:rFonts w:eastAsia="Times New Roman" w:cstheme="minorHAnsi"/>
                <w:sz w:val="20"/>
                <w:szCs w:val="20"/>
                <w:lang w:eastAsia="pt-BR"/>
              </w:rPr>
              <w:t>A autenticidade deste documento pode ser conferida no site </w:t>
            </w:r>
            <w:hyperlink r:id="rId9" w:tgtFrame="_blank" w:tooltip="Página de Autenticidade de Documentos" w:history="1">
              <w:r w:rsidRPr="00AD0FA2">
                <w:rPr>
                  <w:rFonts w:eastAsia="Times New Roman" w:cstheme="minorHAnsi"/>
                  <w:color w:val="0000FF"/>
                  <w:sz w:val="20"/>
                  <w:szCs w:val="20"/>
                  <w:u w:val="single"/>
                  <w:lang w:eastAsia="pt-BR"/>
                </w:rPr>
                <w:t>portal do SEI</w:t>
              </w:r>
            </w:hyperlink>
            <w:r w:rsidRPr="00AD0FA2">
              <w:rPr>
                <w:rFonts w:eastAsia="Times New Roman" w:cstheme="minorHAnsi"/>
                <w:sz w:val="20"/>
                <w:szCs w:val="20"/>
                <w:lang w:eastAsia="pt-BR"/>
              </w:rPr>
              <w:t>, informando o código verificador </w:t>
            </w:r>
            <w:r w:rsidRPr="00AD0FA2">
              <w:rPr>
                <w:rFonts w:eastAsia="Times New Roman" w:cstheme="minorHAnsi"/>
                <w:b/>
                <w:bCs/>
                <w:sz w:val="20"/>
                <w:szCs w:val="20"/>
                <w:lang w:eastAsia="pt-BR"/>
              </w:rPr>
              <w:t>0023481145</w:t>
            </w:r>
            <w:r w:rsidRPr="00AD0FA2">
              <w:rPr>
                <w:rFonts w:eastAsia="Times New Roman" w:cstheme="minorHAnsi"/>
                <w:sz w:val="20"/>
                <w:szCs w:val="20"/>
                <w:lang w:eastAsia="pt-BR"/>
              </w:rPr>
              <w:t> e o código CRC </w:t>
            </w:r>
            <w:r w:rsidRPr="00AD0FA2">
              <w:rPr>
                <w:rFonts w:eastAsia="Times New Roman" w:cstheme="minorHAnsi"/>
                <w:b/>
                <w:bCs/>
                <w:sz w:val="20"/>
                <w:szCs w:val="20"/>
                <w:lang w:eastAsia="pt-BR"/>
              </w:rPr>
              <w:t>432E03D1</w:t>
            </w:r>
            <w:r w:rsidRPr="00AD0FA2">
              <w:rPr>
                <w:rFonts w:eastAsia="Times New Roman" w:cstheme="minorHAnsi"/>
                <w:sz w:val="20"/>
                <w:szCs w:val="20"/>
                <w:lang w:eastAsia="pt-BR"/>
              </w:rPr>
              <w:t>.</w:t>
            </w:r>
          </w:p>
        </w:tc>
      </w:tr>
    </w:tbl>
    <w:p w14:paraId="3369C6BE" w14:textId="77777777" w:rsidR="00AD0FA2" w:rsidRPr="00AD0FA2" w:rsidRDefault="00AD0FA2" w:rsidP="00AD0FA2">
      <w:pPr>
        <w:spacing w:before="15" w:after="15" w:line="240" w:lineRule="auto"/>
        <w:rPr>
          <w:rFonts w:eastAsia="Times New Roman" w:cstheme="minorHAnsi"/>
          <w:color w:val="000000"/>
          <w:sz w:val="20"/>
          <w:szCs w:val="20"/>
          <w:lang w:eastAsia="pt-BR"/>
        </w:rPr>
      </w:pPr>
      <w:r w:rsidRPr="00AD0FA2">
        <w:rPr>
          <w:rFonts w:eastAsia="Times New Roman" w:cstheme="minorHAnsi"/>
          <w:color w:val="000000"/>
          <w:sz w:val="20"/>
          <w:szCs w:val="20"/>
          <w:lang w:eastAsia="pt-BR"/>
        </w:rPr>
        <w:pict w14:anchorId="1175BE91">
          <v:rect id="_x0000_i1032" style="width:0;height:1.5pt" o:hralign="center" o:hrstd="t" o:hr="t" fillcolor="#a0a0a0" stroked="f"/>
        </w:pict>
      </w:r>
    </w:p>
    <w:p w14:paraId="7BFA3518" w14:textId="77777777" w:rsidR="00AD0FA2" w:rsidRPr="00AD0FA2" w:rsidRDefault="00AD0FA2" w:rsidP="00AD0FA2">
      <w:pPr>
        <w:spacing w:before="15" w:after="15" w:line="240" w:lineRule="auto"/>
        <w:rPr>
          <w:rFonts w:eastAsia="Times New Roman" w:cstheme="minorHAnsi"/>
          <w:color w:val="000000"/>
          <w:sz w:val="24"/>
          <w:szCs w:val="24"/>
          <w:lang w:eastAsia="pt-BR"/>
        </w:rPr>
      </w:pPr>
    </w:p>
    <w:p w14:paraId="0B580CEF" w14:textId="77777777" w:rsidR="00F40A14" w:rsidRPr="00AD0FA2" w:rsidRDefault="00F40A14">
      <w:pPr>
        <w:rPr>
          <w:rFonts w:cstheme="minorHAnsi"/>
          <w:sz w:val="24"/>
          <w:szCs w:val="24"/>
        </w:rPr>
      </w:pPr>
    </w:p>
    <w:sectPr w:rsidR="00F40A14" w:rsidRPr="00AD0FA2" w:rsidSect="00AD0FA2">
      <w:pgSz w:w="11906" w:h="16838"/>
      <w:pgMar w:top="567" w:right="567" w:bottom="567" w:left="56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A14"/>
    <w:rsid w:val="004750FF"/>
    <w:rsid w:val="00AD0FA2"/>
    <w:rsid w:val="00DE39ED"/>
    <w:rsid w:val="00F40A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1933D6E"/>
  <w15:chartTrackingRefBased/>
  <w15:docId w15:val="{0A7DADB0-7E23-41EA-A97F-78621AF5666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AD0FA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customStyle="1" w:styleId="newcentralizartexto">
    <w:name w:val="new_centralizar_texto"/>
    <w:basedOn w:val="Normal"/>
    <w:rsid w:val="00AD0FA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customStyle="1" w:styleId="newementa">
    <w:name w:val="new_ementa"/>
    <w:basedOn w:val="Normal"/>
    <w:rsid w:val="00AD0FA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customStyle="1" w:styleId="newtextojustificadorecprimeirlinhaespsimp">
    <w:name w:val="new_texto_justificado_rec_primeir_linha_esp_simp"/>
    <w:basedOn w:val="Normal"/>
    <w:rsid w:val="00AD0FA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character" w:styleId="Forte">
    <w:name w:val="Strong"/>
    <w:basedOn w:val="Fontepargpadro"/>
    <w:uiPriority w:val="22"/>
    <w:qFormat/>
    <w:rsid w:val="00AD0FA2"/>
    <w:rPr>
      <w:b/>
      <w:bCs/>
    </w:rPr>
  </w:style>
  <w:style w:type="paragraph" w:customStyle="1" w:styleId="newtabelatextocentralizado">
    <w:name w:val="new_tabela_texto_centralizado"/>
    <w:basedOn w:val="Normal"/>
    <w:rsid w:val="00AD0FA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character" w:styleId="Hyperlink">
    <w:name w:val="Hyperlink"/>
    <w:basedOn w:val="Fontepargpadro"/>
    <w:uiPriority w:val="99"/>
    <w:semiHidden/>
    <w:unhideWhenUsed/>
    <w:rsid w:val="00AD0FA2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19102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428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3" Type="http://schemas.openxmlformats.org/officeDocument/2006/relationships/webSettings" Target="webSettings.xml"/><Relationship Id="rId7" Type="http://schemas.openxmlformats.org/officeDocument/2006/relationships/hyperlink" Target="http://www.diof.ro.gov.br/data/uploads/2017/04/Doe-05_04_2017.pdf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www.diof.ro.gov.br/data/uploads/2017/04/Doe-05_04_2017.pdf" TargetMode="External"/><Relationship Id="rId11" Type="http://schemas.openxmlformats.org/officeDocument/2006/relationships/theme" Target="theme/theme1.xml"/><Relationship Id="rId5" Type="http://schemas.openxmlformats.org/officeDocument/2006/relationships/image" Target="media/image2.png"/><Relationship Id="rId10" Type="http://schemas.openxmlformats.org/officeDocument/2006/relationships/fontTable" Target="fontTable.xml"/><Relationship Id="rId4" Type="http://schemas.openxmlformats.org/officeDocument/2006/relationships/image" Target="media/image1.png"/><Relationship Id="rId9" Type="http://schemas.openxmlformats.org/officeDocument/2006/relationships/hyperlink" Target="http://sei.sistemas.ro.gov.br/sei/controlador_externo.php?acao=documento_conferir&amp;id_orgao_acesso_externo=0" TargetMode="Externa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3</Pages>
  <Words>902</Words>
  <Characters>4871</Characters>
  <Application>Microsoft Office Word</Application>
  <DocSecurity>0</DocSecurity>
  <Lines>40</Lines>
  <Paragraphs>11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DECRETO N° 27.246, DE 15 DE JUNHO DE 2022</dc:title>
  <dc:subject>Altera e acresce dispositivos ao Regulamento do Imposto sobre Operações Relativas à Circulação de Mercadorias e sobre Prestações de Serviços de Transporte Interestadual e Intermunicipal e de Comunicação - RICMS/RO, aprovado pelo Decreto n° 22.721, de 5 de abril de 2018.</dc:subject>
  <dc:creator>Mariana Cavalcante Maciel</dc:creator>
  <cp:keywords/>
  <dc:description/>
  <cp:lastModifiedBy>Mariana Cavalcante Maciel</cp:lastModifiedBy>
  <cp:revision>2</cp:revision>
  <dcterms:created xsi:type="dcterms:W3CDTF">2022-06-17T12:53:00Z</dcterms:created>
  <dcterms:modified xsi:type="dcterms:W3CDTF">2022-06-17T13:07:00Z</dcterms:modified>
</cp:coreProperties>
</file>