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8AAC3" w14:textId="6B54CB5D" w:rsidR="00646B84" w:rsidRDefault="00646B84" w:rsidP="00646B84">
      <w:pPr>
        <w:pStyle w:val="textocentralizado"/>
        <w:spacing w:before="120" w:beforeAutospacing="0" w:after="120" w:afterAutospacing="0"/>
        <w:ind w:right="120"/>
        <w:jc w:val="both"/>
        <w:rPr>
          <w:rFonts w:asciiTheme="minorHAnsi" w:hAnsiTheme="minorHAnsi" w:cstheme="minorHAnsi"/>
          <w:color w:val="FF0000"/>
          <w:sz w:val="20"/>
          <w:szCs w:val="20"/>
        </w:rPr>
      </w:pPr>
      <w:r w:rsidRPr="00646B84">
        <w:rPr>
          <w:rFonts w:asciiTheme="minorHAnsi" w:hAnsiTheme="minorHAnsi" w:cstheme="minorHAnsi"/>
          <w:color w:val="FF0000"/>
          <w:sz w:val="20"/>
          <w:szCs w:val="20"/>
        </w:rPr>
        <w:t>* Este texto não substitui o publicado no DOE.</w:t>
      </w:r>
    </w:p>
    <w:p w14:paraId="2F0A8EB2" w14:textId="43110952" w:rsidR="00646B84" w:rsidRDefault="00646B84" w:rsidP="00646B84">
      <w:pPr>
        <w:pStyle w:val="textocentralizado"/>
        <w:spacing w:before="120" w:beforeAutospacing="0" w:after="120" w:afterAutospacing="0"/>
        <w:ind w:right="120"/>
        <w:jc w:val="both"/>
        <w:rPr>
          <w:rFonts w:asciiTheme="minorHAnsi" w:hAnsiTheme="minorHAnsi" w:cstheme="minorHAnsi"/>
          <w:color w:val="FF0000"/>
          <w:sz w:val="20"/>
          <w:szCs w:val="20"/>
        </w:rPr>
      </w:pPr>
    </w:p>
    <w:p w14:paraId="3087C69B" w14:textId="77777777" w:rsidR="005E1FB2" w:rsidRDefault="00CB14FD" w:rsidP="00CB14F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8694B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5E1FB2">
        <w:rPr>
          <w:rFonts w:eastAsia="Times New Roman" w:cstheme="minorHAnsi"/>
          <w:color w:val="000000"/>
          <w:sz w:val="20"/>
          <w:szCs w:val="20"/>
          <w:lang w:eastAsia="pt-BR"/>
        </w:rPr>
        <w:t>90</w:t>
      </w:r>
    </w:p>
    <w:p w14:paraId="0B511E06" w14:textId="261892AD" w:rsidR="00CB14FD" w:rsidRPr="0098694B" w:rsidRDefault="00CB14FD" w:rsidP="00CB14F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8694B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Disponibilização: </w:t>
      </w:r>
      <w:r w:rsidR="005E1FB2">
        <w:rPr>
          <w:rFonts w:eastAsia="Times New Roman" w:cstheme="minorHAnsi"/>
          <w:color w:val="000000"/>
          <w:sz w:val="20"/>
          <w:szCs w:val="20"/>
          <w:lang w:eastAsia="pt-BR"/>
        </w:rPr>
        <w:t>30</w:t>
      </w:r>
      <w:r w:rsidRPr="0098694B">
        <w:rPr>
          <w:rFonts w:eastAsia="Times New Roman" w:cstheme="minorHAnsi"/>
          <w:color w:val="000000"/>
          <w:sz w:val="20"/>
          <w:szCs w:val="20"/>
          <w:lang w:eastAsia="pt-BR"/>
        </w:rPr>
        <w:t>/04/2021</w:t>
      </w:r>
      <w:r w:rsidRPr="0098694B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 w:rsidR="005E1FB2">
        <w:rPr>
          <w:rFonts w:eastAsia="Times New Roman" w:cstheme="minorHAnsi"/>
          <w:color w:val="000000"/>
          <w:sz w:val="20"/>
          <w:szCs w:val="20"/>
          <w:lang w:eastAsia="pt-BR"/>
        </w:rPr>
        <w:t>30</w:t>
      </w:r>
      <w:r w:rsidRPr="0098694B">
        <w:rPr>
          <w:rFonts w:eastAsia="Times New Roman" w:cstheme="minorHAnsi"/>
          <w:color w:val="000000"/>
          <w:sz w:val="20"/>
          <w:szCs w:val="20"/>
          <w:lang w:eastAsia="pt-BR"/>
        </w:rPr>
        <w:t>/04/2021</w:t>
      </w:r>
    </w:p>
    <w:p w14:paraId="7F9F73A4" w14:textId="77777777" w:rsidR="00646B84" w:rsidRPr="00646B84" w:rsidRDefault="00646B84" w:rsidP="00646B84">
      <w:pPr>
        <w:pStyle w:val="textocentralizado"/>
        <w:spacing w:before="120" w:beforeAutospacing="0" w:after="120" w:afterAutospacing="0"/>
        <w:ind w:right="120"/>
        <w:jc w:val="both"/>
        <w:rPr>
          <w:rFonts w:asciiTheme="minorHAnsi" w:hAnsiTheme="minorHAnsi" w:cstheme="minorHAnsi"/>
          <w:color w:val="FF0000"/>
          <w:sz w:val="20"/>
          <w:szCs w:val="20"/>
        </w:rPr>
      </w:pPr>
    </w:p>
    <w:p w14:paraId="40167A86" w14:textId="14C01880" w:rsidR="00646B84" w:rsidRPr="00646B84" w:rsidRDefault="00646B84" w:rsidP="00646B84">
      <w:pPr>
        <w:pStyle w:val="textocentralizado"/>
        <w:spacing w:before="120" w:beforeAutospacing="0" w:after="120" w:afterAutospacing="0"/>
        <w:ind w:left="142" w:right="120"/>
        <w:jc w:val="center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eastAsiaTheme="minorHAnsi" w:hAnsiTheme="minorHAnsi" w:cstheme="minorHAnsi"/>
          <w:noProof/>
          <w:lang w:eastAsia="en-US"/>
        </w:rPr>
        <w:drawing>
          <wp:inline distT="0" distB="0" distL="0" distR="0" wp14:anchorId="0D4235CC" wp14:editId="106741C3">
            <wp:extent cx="933450" cy="714375"/>
            <wp:effectExtent l="0" t="0" r="0" b="952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25E40" w14:textId="77777777" w:rsidR="00646B84" w:rsidRPr="00646B84" w:rsidRDefault="00646B84" w:rsidP="00CB14FD">
      <w:pPr>
        <w:pStyle w:val="textocentralizado"/>
        <w:spacing w:before="0" w:beforeAutospacing="0" w:after="0" w:afterAutospacing="0"/>
        <w:ind w:left="119" w:right="119"/>
        <w:jc w:val="center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Secretaria de Estado de Finanças - SEFIN</w:t>
      </w:r>
    </w:p>
    <w:p w14:paraId="12669BE3" w14:textId="018BEC11" w:rsidR="00646B84" w:rsidRDefault="00646B84" w:rsidP="00CB14FD">
      <w:pPr>
        <w:pStyle w:val="textocentralizado"/>
        <w:spacing w:before="0" w:beforeAutospacing="0" w:after="0" w:afterAutospacing="0"/>
        <w:ind w:left="119" w:right="119"/>
        <w:jc w:val="center"/>
        <w:rPr>
          <w:rStyle w:val="Forte"/>
          <w:rFonts w:asciiTheme="minorHAnsi" w:hAnsiTheme="minorHAnsi" w:cstheme="minorHAnsi"/>
          <w:color w:val="000000"/>
        </w:rPr>
      </w:pPr>
      <w:r w:rsidRPr="00646B84">
        <w:rPr>
          <w:rStyle w:val="Forte"/>
          <w:rFonts w:asciiTheme="minorHAnsi" w:hAnsiTheme="minorHAnsi" w:cstheme="minorHAnsi"/>
          <w:color w:val="000000"/>
        </w:rPr>
        <w:t>Instrução Normativa nº 33/2021/GAB/CRE</w:t>
      </w:r>
    </w:p>
    <w:p w14:paraId="6FEBE732" w14:textId="77777777" w:rsidR="00CB14FD" w:rsidRPr="00646B84" w:rsidRDefault="00CB14FD" w:rsidP="00CB14FD">
      <w:pPr>
        <w:pStyle w:val="textocentralizado"/>
        <w:spacing w:before="0" w:beforeAutospacing="0" w:after="0" w:afterAutospacing="0"/>
        <w:ind w:left="119" w:right="119"/>
        <w:jc w:val="center"/>
        <w:rPr>
          <w:rFonts w:asciiTheme="minorHAnsi" w:hAnsiTheme="minorHAnsi" w:cstheme="minorHAnsi"/>
          <w:color w:val="000000"/>
        </w:rPr>
      </w:pPr>
    </w:p>
    <w:p w14:paraId="057716C1" w14:textId="77777777" w:rsidR="00646B84" w:rsidRPr="00646B84" w:rsidRDefault="00646B84" w:rsidP="00CB14FD">
      <w:pPr>
        <w:pStyle w:val="textocentralizado"/>
        <w:spacing w:before="0" w:beforeAutospacing="0" w:after="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44B0A1EF" w14:textId="746E1A5F" w:rsidR="00646B84" w:rsidRDefault="00646B84" w:rsidP="00CB14FD">
      <w:pPr>
        <w:pStyle w:val="NormalWeb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Institui o Manual Técnico de Procedimentos da Arrecadação da Receita Estadual de Rondônia</w:t>
      </w:r>
    </w:p>
    <w:p w14:paraId="3EF6A56C" w14:textId="77777777" w:rsidR="001312BC" w:rsidRDefault="001312BC" w:rsidP="00CB14FD">
      <w:pPr>
        <w:pStyle w:val="NormalWeb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</w:p>
    <w:p w14:paraId="585477F1" w14:textId="14301BB8" w:rsidR="00197070" w:rsidRDefault="00197070" w:rsidP="00197070">
      <w:pPr>
        <w:pStyle w:val="Cabealho"/>
        <w:tabs>
          <w:tab w:val="left" w:pos="708"/>
        </w:tabs>
        <w:jc w:val="center"/>
        <w:rPr>
          <w:rFonts w:cs="Times New Roman"/>
          <w:b/>
          <w:bCs/>
          <w:color w:val="FF0000"/>
          <w:kern w:val="2"/>
          <w:sz w:val="32"/>
          <w:szCs w:val="32"/>
        </w:rPr>
      </w:pPr>
      <w:r>
        <w:rPr>
          <w:rFonts w:cs="Times New Roman"/>
          <w:b/>
          <w:bCs/>
          <w:color w:val="FF0000"/>
          <w:sz w:val="32"/>
          <w:szCs w:val="32"/>
        </w:rPr>
        <w:t>REVOGADA PELA IN Nº 0</w:t>
      </w:r>
      <w:r>
        <w:rPr>
          <w:rFonts w:cs="Times New Roman"/>
          <w:b/>
          <w:bCs/>
          <w:color w:val="FF0000"/>
          <w:sz w:val="32"/>
          <w:szCs w:val="32"/>
        </w:rPr>
        <w:t>54</w:t>
      </w:r>
      <w:r>
        <w:rPr>
          <w:rFonts w:cs="Times New Roman"/>
          <w:b/>
          <w:bCs/>
          <w:color w:val="FF0000"/>
          <w:sz w:val="32"/>
          <w:szCs w:val="32"/>
        </w:rPr>
        <w:t>, DE 2</w:t>
      </w:r>
      <w:r>
        <w:rPr>
          <w:rFonts w:cs="Times New Roman"/>
          <w:b/>
          <w:bCs/>
          <w:color w:val="FF0000"/>
          <w:sz w:val="32"/>
          <w:szCs w:val="32"/>
        </w:rPr>
        <w:t>1</w:t>
      </w:r>
      <w:r>
        <w:rPr>
          <w:rFonts w:cs="Times New Roman"/>
          <w:b/>
          <w:bCs/>
          <w:color w:val="FF0000"/>
          <w:sz w:val="32"/>
          <w:szCs w:val="32"/>
        </w:rPr>
        <w:t>.0</w:t>
      </w:r>
      <w:r>
        <w:rPr>
          <w:rFonts w:cs="Times New Roman"/>
          <w:b/>
          <w:bCs/>
          <w:color w:val="FF0000"/>
          <w:sz w:val="32"/>
          <w:szCs w:val="32"/>
        </w:rPr>
        <w:t>7</w:t>
      </w:r>
      <w:r>
        <w:rPr>
          <w:rFonts w:cs="Times New Roman"/>
          <w:b/>
          <w:bCs/>
          <w:color w:val="FF0000"/>
          <w:sz w:val="32"/>
          <w:szCs w:val="32"/>
        </w:rPr>
        <w:t xml:space="preserve">.21 – DOE Nº </w:t>
      </w:r>
      <w:r>
        <w:rPr>
          <w:rFonts w:cs="Times New Roman"/>
          <w:b/>
          <w:bCs/>
          <w:color w:val="FF0000"/>
          <w:sz w:val="32"/>
          <w:szCs w:val="32"/>
        </w:rPr>
        <w:t>151</w:t>
      </w:r>
      <w:r>
        <w:rPr>
          <w:rFonts w:cs="Times New Roman"/>
          <w:b/>
          <w:bCs/>
          <w:color w:val="FF0000"/>
          <w:sz w:val="32"/>
          <w:szCs w:val="32"/>
        </w:rPr>
        <w:t xml:space="preserve">, DE </w:t>
      </w:r>
      <w:r>
        <w:rPr>
          <w:rFonts w:cs="Times New Roman"/>
          <w:b/>
          <w:bCs/>
          <w:color w:val="FF0000"/>
          <w:sz w:val="32"/>
          <w:szCs w:val="32"/>
        </w:rPr>
        <w:t>28.07</w:t>
      </w:r>
      <w:r>
        <w:rPr>
          <w:rFonts w:cs="Times New Roman"/>
          <w:b/>
          <w:bCs/>
          <w:color w:val="FF0000"/>
          <w:sz w:val="32"/>
          <w:szCs w:val="32"/>
        </w:rPr>
        <w:t>.2021</w:t>
      </w:r>
    </w:p>
    <w:p w14:paraId="5A698D75" w14:textId="77777777" w:rsidR="00CB14FD" w:rsidRPr="00646B84" w:rsidRDefault="00CB14FD" w:rsidP="00CB14FD">
      <w:pPr>
        <w:pStyle w:val="NormalWeb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</w:p>
    <w:p w14:paraId="47413407" w14:textId="77777777" w:rsidR="00646B84" w:rsidRPr="00646B84" w:rsidRDefault="00646B84" w:rsidP="00CB14FD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2B75C118" w14:textId="1E64A277" w:rsidR="00646B84" w:rsidRDefault="00646B84" w:rsidP="00CB14FD">
      <w:pPr>
        <w:pStyle w:val="NormalWeb"/>
        <w:spacing w:before="0" w:beforeAutospacing="0" w:after="0" w:afterAutospacing="0"/>
        <w:ind w:left="1560"/>
        <w:jc w:val="both"/>
        <w:rPr>
          <w:rFonts w:asciiTheme="minorHAnsi" w:hAnsiTheme="minorHAnsi" w:cstheme="minorHAnsi"/>
          <w:color w:val="000000"/>
        </w:rPr>
      </w:pPr>
      <w:r w:rsidRPr="00646B84">
        <w:rPr>
          <w:rStyle w:val="Forte"/>
          <w:rFonts w:asciiTheme="minorHAnsi" w:hAnsiTheme="minorHAnsi" w:cstheme="minorHAnsi"/>
          <w:color w:val="000000"/>
        </w:rPr>
        <w:t>O COORDENADOR GERAL DA RECEITA ESTADUAL</w:t>
      </w:r>
      <w:r w:rsidRPr="00646B84">
        <w:rPr>
          <w:rFonts w:asciiTheme="minorHAnsi" w:hAnsiTheme="minorHAnsi" w:cstheme="minorHAnsi"/>
          <w:color w:val="000000"/>
        </w:rPr>
        <w:t>, no uso de suas atribuições legais; e</w:t>
      </w:r>
    </w:p>
    <w:p w14:paraId="15B9645C" w14:textId="77777777" w:rsidR="00CB14FD" w:rsidRPr="00646B84" w:rsidRDefault="00CB14FD" w:rsidP="00CB14FD">
      <w:pPr>
        <w:pStyle w:val="NormalWeb"/>
        <w:spacing w:before="0" w:beforeAutospacing="0" w:after="0" w:afterAutospacing="0"/>
        <w:ind w:left="1560"/>
        <w:jc w:val="both"/>
        <w:rPr>
          <w:rFonts w:asciiTheme="minorHAnsi" w:hAnsiTheme="minorHAnsi" w:cstheme="minorHAnsi"/>
          <w:color w:val="000000"/>
        </w:rPr>
      </w:pPr>
    </w:p>
    <w:p w14:paraId="5F7D734F" w14:textId="044BC896" w:rsidR="00646B84" w:rsidRDefault="00646B84" w:rsidP="00CB14FD">
      <w:pPr>
        <w:pStyle w:val="NormalWeb"/>
        <w:spacing w:before="0" w:beforeAutospacing="0" w:after="0" w:afterAutospacing="0"/>
        <w:ind w:left="1560"/>
        <w:jc w:val="both"/>
        <w:rPr>
          <w:rFonts w:asciiTheme="minorHAnsi" w:hAnsiTheme="minorHAnsi" w:cstheme="minorHAnsi"/>
          <w:color w:val="000000"/>
        </w:rPr>
      </w:pPr>
      <w:r w:rsidRPr="00646B84">
        <w:rPr>
          <w:rStyle w:val="Forte"/>
          <w:rFonts w:asciiTheme="minorHAnsi" w:hAnsiTheme="minorHAnsi" w:cstheme="minorHAnsi"/>
          <w:color w:val="000000"/>
        </w:rPr>
        <w:t>CONSIDERANDO</w:t>
      </w:r>
      <w:r w:rsidRPr="00646B84">
        <w:rPr>
          <w:rFonts w:asciiTheme="minorHAnsi" w:hAnsiTheme="minorHAnsi" w:cstheme="minorHAnsi"/>
          <w:color w:val="000000"/>
        </w:rPr>
        <w:t> o disposto no artigo 31-A do Decreto n. 9.736, de 4 de Dezembro de 2001; </w:t>
      </w:r>
    </w:p>
    <w:p w14:paraId="6A5AC794" w14:textId="77777777" w:rsidR="00CB14FD" w:rsidRPr="00646B84" w:rsidRDefault="00CB14FD" w:rsidP="00CB14FD">
      <w:pPr>
        <w:pStyle w:val="NormalWeb"/>
        <w:spacing w:before="0" w:beforeAutospacing="0" w:after="0" w:afterAutospacing="0"/>
        <w:ind w:left="1560"/>
        <w:jc w:val="both"/>
        <w:rPr>
          <w:rFonts w:asciiTheme="minorHAnsi" w:hAnsiTheme="minorHAnsi" w:cstheme="minorHAnsi"/>
          <w:color w:val="000000"/>
        </w:rPr>
      </w:pPr>
    </w:p>
    <w:p w14:paraId="6ABD8360" w14:textId="77777777" w:rsidR="00646B84" w:rsidRPr="00646B84" w:rsidRDefault="00646B84" w:rsidP="00CB14FD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0365E660" w14:textId="37A77599" w:rsidR="00646B84" w:rsidRDefault="00646B84" w:rsidP="00CB14FD">
      <w:pPr>
        <w:pStyle w:val="NormalWeb"/>
        <w:spacing w:before="0" w:beforeAutospacing="0" w:after="0" w:afterAutospacing="0"/>
        <w:ind w:left="1560"/>
        <w:jc w:val="both"/>
        <w:rPr>
          <w:rStyle w:val="Forte"/>
          <w:rFonts w:asciiTheme="minorHAnsi" w:hAnsiTheme="minorHAnsi" w:cstheme="minorHAnsi"/>
          <w:color w:val="000000"/>
          <w:u w:val="single"/>
        </w:rPr>
      </w:pPr>
      <w:r w:rsidRPr="00646B84">
        <w:rPr>
          <w:rStyle w:val="Forte"/>
          <w:rFonts w:asciiTheme="minorHAnsi" w:hAnsiTheme="minorHAnsi" w:cstheme="minorHAnsi"/>
          <w:color w:val="000000"/>
          <w:u w:val="single"/>
        </w:rPr>
        <w:t>D E T E R M I N A</w:t>
      </w:r>
    </w:p>
    <w:p w14:paraId="2E573996" w14:textId="77777777" w:rsidR="00CB14FD" w:rsidRPr="00646B84" w:rsidRDefault="00CB14FD" w:rsidP="00CB14FD">
      <w:pPr>
        <w:pStyle w:val="NormalWeb"/>
        <w:spacing w:before="0" w:beforeAutospacing="0" w:after="0" w:afterAutospacing="0"/>
        <w:ind w:left="1560"/>
        <w:jc w:val="both"/>
        <w:rPr>
          <w:rFonts w:asciiTheme="minorHAnsi" w:hAnsiTheme="minorHAnsi" w:cstheme="minorHAnsi"/>
          <w:color w:val="000000"/>
        </w:rPr>
      </w:pPr>
    </w:p>
    <w:p w14:paraId="7743A4F2" w14:textId="77777777" w:rsidR="00646B84" w:rsidRPr="00646B84" w:rsidRDefault="00646B84" w:rsidP="00CB14FD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791BE154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Art. 1º Fica instituído o “Manual Técnico de Procedimentos da Arrecadação da Receita Estadual de Rondônia”, conforme Anexo Único desta Instrução Normativa, que disciplina a forma e os critérios de operacionalização da receita estadual e os procedimentos para abertura de receitas, seu controle e acompanhamento, necessários para a efetivação do disposto no Decreto n. 10.406, de 7 de março de 2003, que criou o Sistema Único de Arrecadação de Receitas Estaduais - SUARE.</w:t>
      </w:r>
    </w:p>
    <w:p w14:paraId="3DA058D0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4B7C02CC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Art. 2º. As instituições financeiras interessadas em credenciar-se como Instituição Arrecadadora das Receitas Estaduais deverão observar, além do disposto no Decreto n. 9.736, de 4 de dezembro de 2001, as normas técnicas constantes do Manual referido no artigo 1º.</w:t>
      </w:r>
    </w:p>
    <w:p w14:paraId="6F8420C7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3AEA55E0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Art. 3º. Ficam convalidados os procedimentos praticados nos termos desta Instrução Normativa, em relação ao Anexo 4 - Tabela de Receitas e Contas de Depósito e ao Anexo 5 - Tabela de Repasses para o Banco Centralizador, no período de 1º de agosto de 2019 até o início da vigência desta Instrução Normativa.</w:t>
      </w:r>
    </w:p>
    <w:p w14:paraId="4AED3549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0922133B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Art. 4º. Fica revogada a Instrução Normativa n. 015/2020/GAB/CRE.</w:t>
      </w:r>
    </w:p>
    <w:p w14:paraId="7B486C83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2477D2A1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Art. 5º. Esta Instrução Normativa entra em vigor na data da sua publicação.</w:t>
      </w:r>
    </w:p>
    <w:p w14:paraId="23D839D7" w14:textId="77777777" w:rsidR="00646B84" w:rsidRP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 </w:t>
      </w:r>
    </w:p>
    <w:p w14:paraId="392FAE4B" w14:textId="63490283" w:rsidR="00646B84" w:rsidRDefault="00646B84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Porto Velho, 27   de   abril de   2021.</w:t>
      </w:r>
    </w:p>
    <w:p w14:paraId="02F23F53" w14:textId="77777777" w:rsidR="00CB14FD" w:rsidRPr="00646B84" w:rsidRDefault="00CB14FD" w:rsidP="00CB14FD">
      <w:pPr>
        <w:pStyle w:val="newtextojustificadorecuoprimeiralinha"/>
        <w:spacing w:before="0" w:beforeAutospacing="0" w:after="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</w:p>
    <w:p w14:paraId="753E4E22" w14:textId="77777777" w:rsidR="00646B84" w:rsidRPr="00646B84" w:rsidRDefault="00646B84" w:rsidP="00CB14FD">
      <w:pPr>
        <w:pStyle w:val="textocentralizadomaiusculasnegrito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caps/>
          <w:color w:val="000000"/>
        </w:rPr>
      </w:pPr>
      <w:r w:rsidRPr="00646B84">
        <w:rPr>
          <w:rFonts w:asciiTheme="minorHAnsi" w:hAnsiTheme="minorHAnsi" w:cstheme="minorHAnsi"/>
          <w:b/>
          <w:bCs/>
          <w:caps/>
          <w:color w:val="000000"/>
        </w:rPr>
        <w:lastRenderedPageBreak/>
        <w:t> </w:t>
      </w:r>
    </w:p>
    <w:p w14:paraId="724854DA" w14:textId="77777777" w:rsidR="00646B84" w:rsidRPr="00646B84" w:rsidRDefault="00646B84" w:rsidP="00CB14FD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646B84">
        <w:rPr>
          <w:rStyle w:val="Forte"/>
          <w:rFonts w:asciiTheme="minorHAnsi" w:hAnsiTheme="minorHAnsi" w:cstheme="minorHAnsi"/>
          <w:color w:val="000000"/>
        </w:rPr>
        <w:t>ANTONIO CARLOS ALENCAR DO NASCIMENTO</w:t>
      </w:r>
    </w:p>
    <w:p w14:paraId="5BEC1B9D" w14:textId="77777777" w:rsidR="00646B84" w:rsidRPr="00646B84" w:rsidRDefault="00646B84" w:rsidP="00CB14FD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646B84">
        <w:rPr>
          <w:rFonts w:asciiTheme="minorHAnsi" w:hAnsiTheme="minorHAnsi" w:cstheme="minorHAnsi"/>
          <w:color w:val="000000"/>
        </w:rPr>
        <w:t>COORDENADOR GERAL DA RECEITA ESTADUAL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12939" w:rsidRPr="00012939" w14:paraId="67E32F47" w14:textId="77777777" w:rsidTr="000129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338BD4" w14:textId="543149E7" w:rsidR="00012939" w:rsidRPr="00012939" w:rsidRDefault="00012939" w:rsidP="00012939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1293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CFFFD0B" wp14:editId="72DAEFE0">
                  <wp:extent cx="847725" cy="571500"/>
                  <wp:effectExtent l="0" t="0" r="9525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288098C" w14:textId="77777777" w:rsidR="00012939" w:rsidRPr="00012939" w:rsidRDefault="00012939" w:rsidP="0001293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012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012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28/04/2021, às 15:07, conforme horário oficial de Brasília, com fundamento no artigo 18 caput e seus §§ 1º e 2º, do </w:t>
            </w:r>
            <w:hyperlink r:id="rId10" w:tgtFrame="_blank" w:tooltip="Acesse o Decreto" w:history="1">
              <w:r w:rsidRPr="00012939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1999488" w14:textId="77777777" w:rsidR="00012939" w:rsidRPr="00012939" w:rsidRDefault="001312BC" w:rsidP="00012939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39B57C1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012939" w:rsidRPr="00012939" w14:paraId="2031E94F" w14:textId="77777777" w:rsidTr="000129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E3E1CC" w14:textId="64143EB9" w:rsidR="00012939" w:rsidRPr="00012939" w:rsidRDefault="00012939" w:rsidP="00012939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1293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98248E7" wp14:editId="662993B4">
                  <wp:extent cx="819150" cy="81915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05A3863" w14:textId="77777777" w:rsidR="00012939" w:rsidRPr="00012939" w:rsidRDefault="00012939" w:rsidP="0001293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012939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012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0017573544</w:t>
            </w: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012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B99C84FE</w:t>
            </w:r>
            <w:r w:rsidRPr="00012939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53C18448" w14:textId="77777777" w:rsidR="00646EDD" w:rsidRDefault="00646EDD"/>
    <w:sectPr w:rsidR="00646EDD" w:rsidSect="00646B8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B8242" w14:textId="77777777" w:rsidR="001312BC" w:rsidRDefault="001312BC" w:rsidP="001312BC">
      <w:pPr>
        <w:spacing w:after="0" w:line="240" w:lineRule="auto"/>
      </w:pPr>
      <w:r>
        <w:separator/>
      </w:r>
    </w:p>
  </w:endnote>
  <w:endnote w:type="continuationSeparator" w:id="0">
    <w:p w14:paraId="4FC45217" w14:textId="77777777" w:rsidR="001312BC" w:rsidRDefault="001312BC" w:rsidP="001312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2DB5B" w14:textId="77777777" w:rsidR="001312BC" w:rsidRDefault="001312B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994E6" w14:textId="77777777" w:rsidR="001312BC" w:rsidRDefault="001312B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0441A" w14:textId="77777777" w:rsidR="001312BC" w:rsidRDefault="001312B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46356B" w14:textId="77777777" w:rsidR="001312BC" w:rsidRDefault="001312BC" w:rsidP="001312BC">
      <w:pPr>
        <w:spacing w:after="0" w:line="240" w:lineRule="auto"/>
      </w:pPr>
      <w:r>
        <w:separator/>
      </w:r>
    </w:p>
  </w:footnote>
  <w:footnote w:type="continuationSeparator" w:id="0">
    <w:p w14:paraId="0A8E93A2" w14:textId="77777777" w:rsidR="001312BC" w:rsidRDefault="001312BC" w:rsidP="001312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E2474" w14:textId="28E0D0CF" w:rsidR="001312BC" w:rsidRDefault="001312BC">
    <w:pPr>
      <w:pStyle w:val="Cabealho"/>
    </w:pPr>
    <w:r>
      <w:rPr>
        <w:noProof/>
      </w:rPr>
      <w:pict w14:anchorId="69CAEC8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65188" o:spid="_x0000_s2050" type="#_x0000_t136" style="position:absolute;margin-left:0;margin-top:0;width:712.75pt;height:46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54/21 - EFEITOS A PARTIR DE 28.07.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4FB76" w14:textId="37E1ECD6" w:rsidR="001312BC" w:rsidRDefault="001312BC">
    <w:pPr>
      <w:pStyle w:val="Cabealho"/>
    </w:pPr>
    <w:r>
      <w:rPr>
        <w:noProof/>
      </w:rPr>
      <w:pict w14:anchorId="6CC7610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65189" o:spid="_x0000_s2051" type="#_x0000_t136" style="position:absolute;margin-left:0;margin-top:0;width:712.75pt;height:46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54/21 - EFEITOS A PARTIR DE 28.07.21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27339" w14:textId="06F4B604" w:rsidR="001312BC" w:rsidRDefault="001312BC">
    <w:pPr>
      <w:pStyle w:val="Cabealho"/>
    </w:pPr>
    <w:r>
      <w:rPr>
        <w:noProof/>
      </w:rPr>
      <w:pict w14:anchorId="31BEFCC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65187" o:spid="_x0000_s2049" type="#_x0000_t136" style="position:absolute;margin-left:0;margin-top:0;width:712.75pt;height:46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54/21 - EFEITOS A PARTIR DE 28.07.21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B3284"/>
    <w:multiLevelType w:val="hybridMultilevel"/>
    <w:tmpl w:val="88940380"/>
    <w:lvl w:ilvl="0" w:tplc="4B820BA2">
      <w:numFmt w:val="bullet"/>
      <w:lvlText w:val=""/>
      <w:lvlJc w:val="left"/>
      <w:pPr>
        <w:ind w:left="502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143"/>
    <w:rsid w:val="00012939"/>
    <w:rsid w:val="001312BC"/>
    <w:rsid w:val="00197070"/>
    <w:rsid w:val="005E1FB2"/>
    <w:rsid w:val="00646B84"/>
    <w:rsid w:val="00646EDD"/>
    <w:rsid w:val="00CB14FD"/>
    <w:rsid w:val="00CE7E1E"/>
    <w:rsid w:val="00FC1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CD865A3"/>
  <w15:chartTrackingRefBased/>
  <w15:docId w15:val="{86DE560E-4ED2-4902-A423-D6B5C94AA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646B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46B8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46B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646B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646B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012939"/>
    <w:rPr>
      <w:color w:val="0000FF"/>
      <w:u w:val="single"/>
    </w:rPr>
  </w:style>
  <w:style w:type="paragraph" w:styleId="Cabealho">
    <w:name w:val="header"/>
    <w:basedOn w:val="Normal"/>
    <w:link w:val="CabealhoChar"/>
    <w:rsid w:val="00197070"/>
    <w:pPr>
      <w:widowControl w:val="0"/>
      <w:suppressLineNumbers/>
      <w:tabs>
        <w:tab w:val="center" w:pos="4419"/>
        <w:tab w:val="right" w:pos="8838"/>
      </w:tabs>
      <w:suppressAutoHyphens/>
      <w:spacing w:after="0" w:line="100" w:lineRule="atLeas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CabealhoChar">
    <w:name w:val="Cabeçalho Char"/>
    <w:basedOn w:val="Fontepargpadro"/>
    <w:link w:val="Cabealho"/>
    <w:rsid w:val="00197070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styleId="Rodap">
    <w:name w:val="footer"/>
    <w:basedOn w:val="Normal"/>
    <w:link w:val="RodapChar"/>
    <w:uiPriority w:val="99"/>
    <w:unhideWhenUsed/>
    <w:rsid w:val="001312B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12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9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ei.sistemas.ro.gov.br/sei/controlador_externo.php?acao=documento_conferir&amp;id_orgao_acesso_externo=0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diof.ro.gov.br/data/uploads/2017/04/Doe-05_04_2017.pdf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FB36DE-BF84-4F09-8163-E42758A60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404</Words>
  <Characters>2184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33/2021/GAB/CRE</dc:title>
  <dc:subject>Institui o Manual Técnico de Procedimentos da Arrecadação da Receita Estadual de Rondônia</dc:subject>
  <dc:creator>Sefin Getri</dc:creator>
  <cp:keywords/>
  <dc:description/>
  <cp:lastModifiedBy>Mariana Cavalcante Maciel</cp:lastModifiedBy>
  <cp:revision>8</cp:revision>
  <dcterms:created xsi:type="dcterms:W3CDTF">2021-04-29T12:09:00Z</dcterms:created>
  <dcterms:modified xsi:type="dcterms:W3CDTF">2021-07-29T13:56:00Z</dcterms:modified>
</cp:coreProperties>
</file>