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5B2AC3" w14:textId="77777777" w:rsidR="00155B8E" w:rsidRPr="00155B8E" w:rsidRDefault="00155B8E" w:rsidP="00155B8E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155B8E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126</w:t>
      </w:r>
      <w:r w:rsidRPr="00155B8E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01/07/2020</w:t>
      </w:r>
      <w:r w:rsidRPr="00155B8E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01/07/2020</w:t>
      </w:r>
    </w:p>
    <w:p w14:paraId="52845C8C" w14:textId="16C468CD" w:rsidR="00155B8E" w:rsidRPr="00155B8E" w:rsidRDefault="00155B8E" w:rsidP="00155B8E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64C6F">
        <w:rPr>
          <w:rFonts w:cstheme="minorHAnsi"/>
          <w:noProof/>
          <w:sz w:val="24"/>
          <w:szCs w:val="24"/>
        </w:rPr>
        <w:drawing>
          <wp:inline distT="0" distB="0" distL="0" distR="0" wp14:anchorId="4B76294C" wp14:editId="60256C9B">
            <wp:extent cx="933450" cy="714375"/>
            <wp:effectExtent l="0" t="0" r="0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DF3B4E" w14:textId="77777777" w:rsidR="00155B8E" w:rsidRPr="00155B8E" w:rsidRDefault="00155B8E" w:rsidP="00155B8E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55B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0F2EE03" w14:textId="77777777" w:rsidR="00155B8E" w:rsidRPr="00155B8E" w:rsidRDefault="00155B8E" w:rsidP="00155B8E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55B8E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22A1B84B" w14:textId="77777777" w:rsidR="00155B8E" w:rsidRPr="00155B8E" w:rsidRDefault="00155B8E" w:rsidP="00155B8E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55B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127C880" w14:textId="77777777" w:rsidR="00155B8E" w:rsidRPr="00155B8E" w:rsidRDefault="00155B8E" w:rsidP="00155B8E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55B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N. 023/2020/GAB/CRE</w:t>
      </w:r>
    </w:p>
    <w:p w14:paraId="2AB49E19" w14:textId="693C9C06" w:rsidR="00F74773" w:rsidRPr="00FD3FE0" w:rsidRDefault="00F74773" w:rsidP="00F74773">
      <w:pPr>
        <w:spacing w:before="120" w:after="120" w:line="240" w:lineRule="auto"/>
        <w:ind w:left="120" w:right="120"/>
        <w:jc w:val="both"/>
        <w:rPr>
          <w:rFonts w:eastAsia="Times New Roman" w:cstheme="minorHAnsi"/>
          <w:b/>
          <w:bCs/>
          <w:color w:val="FF0000"/>
          <w:sz w:val="32"/>
          <w:szCs w:val="32"/>
          <w:lang w:eastAsia="pt-BR"/>
        </w:rPr>
      </w:pPr>
      <w:r w:rsidRPr="00FD3FE0">
        <w:rPr>
          <w:rFonts w:eastAsia="Times New Roman" w:cstheme="minorHAnsi"/>
          <w:b/>
          <w:bCs/>
          <w:color w:val="FF0000"/>
          <w:sz w:val="32"/>
          <w:szCs w:val="32"/>
          <w:lang w:eastAsia="pt-BR"/>
        </w:rPr>
        <w:t>REVOGADA PELA IN Nº 04</w:t>
      </w:r>
      <w:r>
        <w:rPr>
          <w:rFonts w:eastAsia="Times New Roman" w:cstheme="minorHAnsi"/>
          <w:b/>
          <w:bCs/>
          <w:color w:val="FF0000"/>
          <w:sz w:val="32"/>
          <w:szCs w:val="32"/>
          <w:lang w:eastAsia="pt-BR"/>
        </w:rPr>
        <w:t>5</w:t>
      </w:r>
      <w:r w:rsidRPr="00FD3FE0">
        <w:rPr>
          <w:rFonts w:eastAsia="Times New Roman" w:cstheme="minorHAnsi"/>
          <w:b/>
          <w:bCs/>
          <w:color w:val="FF0000"/>
          <w:sz w:val="32"/>
          <w:szCs w:val="32"/>
          <w:lang w:eastAsia="pt-BR"/>
        </w:rPr>
        <w:t>/202</w:t>
      </w:r>
      <w:r>
        <w:rPr>
          <w:rFonts w:eastAsia="Times New Roman" w:cstheme="minorHAnsi"/>
          <w:b/>
          <w:bCs/>
          <w:color w:val="FF0000"/>
          <w:sz w:val="32"/>
          <w:szCs w:val="32"/>
          <w:lang w:eastAsia="pt-BR"/>
        </w:rPr>
        <w:t>1</w:t>
      </w:r>
      <w:r w:rsidRPr="00FD3FE0">
        <w:rPr>
          <w:rFonts w:eastAsia="Times New Roman" w:cstheme="minorHAnsi"/>
          <w:b/>
          <w:bCs/>
          <w:color w:val="FF0000"/>
          <w:sz w:val="32"/>
          <w:szCs w:val="32"/>
          <w:lang w:eastAsia="pt-BR"/>
        </w:rPr>
        <w:t xml:space="preserve">/GAB/CRE – </w:t>
      </w:r>
      <w:r>
        <w:rPr>
          <w:rFonts w:eastAsia="Times New Roman" w:cstheme="minorHAnsi"/>
          <w:b/>
          <w:bCs/>
          <w:color w:val="FF0000"/>
          <w:sz w:val="32"/>
          <w:szCs w:val="32"/>
          <w:lang w:eastAsia="pt-BR"/>
        </w:rPr>
        <w:t xml:space="preserve">DOE Nº </w:t>
      </w:r>
      <w:r>
        <w:rPr>
          <w:rFonts w:eastAsia="Times New Roman" w:cstheme="minorHAnsi"/>
          <w:b/>
          <w:bCs/>
          <w:color w:val="FF0000"/>
          <w:sz w:val="32"/>
          <w:szCs w:val="32"/>
          <w:lang w:eastAsia="pt-BR"/>
        </w:rPr>
        <w:t>126,</w:t>
      </w:r>
      <w:r>
        <w:rPr>
          <w:rFonts w:eastAsia="Times New Roman" w:cstheme="minorHAnsi"/>
          <w:b/>
          <w:bCs/>
          <w:color w:val="FF0000"/>
          <w:sz w:val="32"/>
          <w:szCs w:val="32"/>
          <w:lang w:eastAsia="pt-BR"/>
        </w:rPr>
        <w:t xml:space="preserve"> DE </w:t>
      </w:r>
      <w:r>
        <w:rPr>
          <w:rFonts w:eastAsia="Times New Roman" w:cstheme="minorHAnsi"/>
          <w:b/>
          <w:bCs/>
          <w:color w:val="FF0000"/>
          <w:sz w:val="32"/>
          <w:szCs w:val="32"/>
          <w:lang w:eastAsia="pt-BR"/>
        </w:rPr>
        <w:t>23.06.2021</w:t>
      </w:r>
    </w:p>
    <w:p w14:paraId="61757D74" w14:textId="77777777" w:rsidR="00155B8E" w:rsidRPr="00155B8E" w:rsidRDefault="00155B8E" w:rsidP="00821B20">
      <w:pPr>
        <w:spacing w:before="120" w:after="120" w:line="240" w:lineRule="auto"/>
        <w:ind w:left="2268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55B8E">
        <w:rPr>
          <w:rFonts w:eastAsia="Times New Roman" w:cstheme="minorHAnsi"/>
          <w:color w:val="000000"/>
          <w:sz w:val="24"/>
          <w:szCs w:val="24"/>
          <w:lang w:eastAsia="pt-BR"/>
        </w:rPr>
        <w:t>Dispõe sobre a suspensão temporária da aplicação de artigo na Instrução Normativa n. 017/2019/GAB/CRE, que institui o Preço Médio Ponderado a Consumidor Final – PMPF no Estado de Rondônia, e dá outras providências.</w:t>
      </w:r>
    </w:p>
    <w:p w14:paraId="735ABE9A" w14:textId="77777777" w:rsidR="00155B8E" w:rsidRPr="00155B8E" w:rsidRDefault="00155B8E" w:rsidP="00155B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55B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B4F169F" w14:textId="77777777" w:rsidR="00155B8E" w:rsidRPr="00155B8E" w:rsidRDefault="00155B8E" w:rsidP="00155B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55B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 COORDENADOR GERAL DA RECEITA ESTADUAL </w:t>
      </w:r>
      <w:r w:rsidRPr="00155B8E">
        <w:rPr>
          <w:rFonts w:eastAsia="Times New Roman" w:cstheme="minorHAnsi"/>
          <w:color w:val="000000"/>
          <w:sz w:val="24"/>
          <w:szCs w:val="24"/>
          <w:lang w:eastAsia="pt-BR"/>
        </w:rPr>
        <w:t>no uso de suas atribuições legais;</w:t>
      </w:r>
    </w:p>
    <w:p w14:paraId="2423DB8F" w14:textId="77777777" w:rsidR="00155B8E" w:rsidRPr="00155B8E" w:rsidRDefault="00155B8E" w:rsidP="00155B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55B8E">
        <w:rPr>
          <w:rFonts w:eastAsia="Times New Roman" w:cstheme="minorHAnsi"/>
          <w:color w:val="000000"/>
          <w:sz w:val="24"/>
          <w:szCs w:val="24"/>
          <w:lang w:eastAsia="pt-BR"/>
        </w:rPr>
        <w:t>                                                                                                                      </w:t>
      </w:r>
    </w:p>
    <w:p w14:paraId="0EAAB1ED" w14:textId="77777777" w:rsidR="00155B8E" w:rsidRPr="00155B8E" w:rsidRDefault="00155B8E" w:rsidP="00155B8E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55B8E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D</w:t>
      </w:r>
      <w:r w:rsidRPr="00155B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55B8E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155B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55B8E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T</w:t>
      </w:r>
      <w:r w:rsidRPr="00155B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55B8E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155B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55B8E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R</w:t>
      </w:r>
      <w:r w:rsidRPr="00155B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55B8E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M</w:t>
      </w:r>
      <w:r w:rsidRPr="00155B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55B8E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I</w:t>
      </w:r>
      <w:r w:rsidRPr="00155B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55B8E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N</w:t>
      </w:r>
      <w:r w:rsidRPr="00155B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55B8E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A</w:t>
      </w:r>
    </w:p>
    <w:p w14:paraId="457894AF" w14:textId="77777777" w:rsidR="00155B8E" w:rsidRPr="00155B8E" w:rsidRDefault="00155B8E" w:rsidP="00155B8E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55B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DECD145" w14:textId="451D9111" w:rsidR="00155B8E" w:rsidRDefault="00155B8E" w:rsidP="00155B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55B8E">
        <w:rPr>
          <w:rFonts w:eastAsia="Times New Roman" w:cstheme="minorHAnsi"/>
          <w:color w:val="000000"/>
          <w:sz w:val="24"/>
          <w:szCs w:val="24"/>
          <w:lang w:eastAsia="pt-BR"/>
        </w:rPr>
        <w:t>Art. 1º. Fica suspensa a aplicação do artigo 2º da Instrução Normativa n. 017/2019/GAB/CRE, de 09 de agosto de 2019, enquanto perdurar o estado de calamidade pública previsto no Decreto nº. 24.887 de 20 de março de 2020, e a continuidade de seus efeitos na forma dos decretos que o sucedem na regulamentação do assunto.</w:t>
      </w:r>
    </w:p>
    <w:p w14:paraId="1A530B3A" w14:textId="77777777" w:rsidR="00821B20" w:rsidRPr="00155B8E" w:rsidRDefault="00821B20" w:rsidP="00155B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475B0611" w14:textId="37F8212D" w:rsidR="00155B8E" w:rsidRPr="00155B8E" w:rsidRDefault="00155B8E" w:rsidP="00155B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55B8E">
        <w:rPr>
          <w:rFonts w:eastAsia="Times New Roman" w:cstheme="minorHAnsi"/>
          <w:color w:val="000000"/>
          <w:sz w:val="24"/>
          <w:szCs w:val="24"/>
          <w:lang w:eastAsia="pt-BR"/>
        </w:rPr>
        <w:t> Art. 2º. Esta Instrução Normativa entra em vigor na data de sua publicação, produzindo efeitos a partir de 20 de março de 2020.</w:t>
      </w:r>
    </w:p>
    <w:p w14:paraId="0A04900C" w14:textId="77777777" w:rsidR="00155B8E" w:rsidRPr="00155B8E" w:rsidRDefault="00155B8E" w:rsidP="00155B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55B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C16D5FA" w14:textId="77777777" w:rsidR="00155B8E" w:rsidRPr="00155B8E" w:rsidRDefault="00155B8E" w:rsidP="00155B8E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55B8E">
        <w:rPr>
          <w:rFonts w:eastAsia="Times New Roman" w:cstheme="minorHAnsi"/>
          <w:color w:val="000000"/>
          <w:sz w:val="24"/>
          <w:szCs w:val="24"/>
          <w:lang w:eastAsia="pt-BR"/>
        </w:rPr>
        <w:t>Porto Velho, 29 de junho de 2020.</w:t>
      </w:r>
    </w:p>
    <w:p w14:paraId="431BCBCF" w14:textId="77777777" w:rsidR="00155B8E" w:rsidRPr="00155B8E" w:rsidRDefault="00155B8E" w:rsidP="00155B8E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55B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C66A4EF" w14:textId="77777777" w:rsidR="00155B8E" w:rsidRPr="00155B8E" w:rsidRDefault="00155B8E" w:rsidP="00155B8E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55B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28D22B69" w14:textId="77777777" w:rsidR="00155B8E" w:rsidRPr="00155B8E" w:rsidRDefault="00155B8E" w:rsidP="00155B8E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155B8E">
        <w:rPr>
          <w:rFonts w:eastAsia="Times New Roman" w:cstheme="minorHAnsi"/>
          <w:color w:val="000000"/>
          <w:sz w:val="24"/>
          <w:szCs w:val="24"/>
          <w:lang w:eastAsia="pt-BR"/>
        </w:rPr>
        <w:t>Coordenador Geral da Receita Estadual</w:t>
      </w:r>
    </w:p>
    <w:p w14:paraId="7950F472" w14:textId="0D13F86C" w:rsidR="00155B8E" w:rsidRPr="00155B8E" w:rsidRDefault="00F74773" w:rsidP="00155B8E">
      <w:pPr>
        <w:spacing w:before="120" w:after="120" w:line="240" w:lineRule="auto"/>
        <w:ind w:left="120" w:right="120"/>
        <w:jc w:val="center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0F1B2287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8213"/>
      </w:tblGrid>
      <w:tr w:rsidR="00155B8E" w:rsidRPr="00155B8E" w14:paraId="20EA854E" w14:textId="77777777" w:rsidTr="00155B8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1BEC0D0" w14:textId="7D3975E9" w:rsidR="00155B8E" w:rsidRPr="00155B8E" w:rsidRDefault="00155B8E" w:rsidP="00155B8E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C64C6F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F084752" wp14:editId="432F00AB">
                  <wp:extent cx="847725" cy="571500"/>
                  <wp:effectExtent l="0" t="0" r="9525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DF7A7BA" w14:textId="77777777" w:rsidR="00155B8E" w:rsidRPr="00155B8E" w:rsidRDefault="00155B8E" w:rsidP="00155B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155B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155B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155B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 </w:t>
            </w:r>
            <w:r w:rsidRPr="00155B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Coordenador(a)</w:t>
            </w:r>
            <w:r w:rsidRPr="00155B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em 30/06/2020, às 13:43, conforme horário oficial de Brasília, com fundamento no artigo 18 caput e seus §§ 1º e 2º, do </w:t>
            </w:r>
            <w:hyperlink r:id="rId9" w:tgtFrame="_blank" w:tooltip="Acesse o Decreto" w:history="1">
              <w:r w:rsidRPr="00155B8E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6008C931" w14:textId="77777777" w:rsidR="00155B8E" w:rsidRPr="00155B8E" w:rsidRDefault="00F74773" w:rsidP="00155B8E">
      <w:pPr>
        <w:spacing w:after="60" w:line="240" w:lineRule="auto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1BA4EA0F">
          <v:rect id="_x0000_i1026" style="width:0;height:1.5pt" o:hralign="center" o:hrstd="t" o:hrnoshade="t" o:hr="t" fillcolor="black" stroked="f"/>
        </w:pict>
      </w:r>
    </w:p>
    <w:tbl>
      <w:tblPr>
        <w:tblW w:w="9636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8271"/>
      </w:tblGrid>
      <w:tr w:rsidR="00155B8E" w:rsidRPr="00155B8E" w14:paraId="4C207AD1" w14:textId="77777777" w:rsidTr="00821B20">
        <w:trPr>
          <w:trHeight w:val="1028"/>
          <w:tblCellSpacing w:w="15" w:type="dxa"/>
        </w:trPr>
        <w:tc>
          <w:tcPr>
            <w:tcW w:w="0" w:type="auto"/>
            <w:vAlign w:val="center"/>
            <w:hideMark/>
          </w:tcPr>
          <w:p w14:paraId="4C1B3E0F" w14:textId="410EC6D1" w:rsidR="00155B8E" w:rsidRPr="00155B8E" w:rsidRDefault="00155B8E" w:rsidP="00155B8E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C64C6F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20B4100D" wp14:editId="6E54AA1B">
                  <wp:extent cx="819150" cy="81915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C289672" w14:textId="77777777" w:rsidR="00155B8E" w:rsidRPr="00155B8E" w:rsidRDefault="00155B8E" w:rsidP="00155B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155B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1" w:tgtFrame="_blank" w:tooltip="Página de Autenticidade de Documentos" w:history="1">
              <w:r w:rsidRPr="00155B8E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155B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155B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0012221280</w:t>
            </w:r>
            <w:r w:rsidRPr="00155B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155B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4D1E1713</w:t>
            </w:r>
            <w:r w:rsidRPr="00155B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4EE93B4F" w14:textId="752EAF95" w:rsidR="00982C51" w:rsidRPr="00C64C6F" w:rsidRDefault="00982C51" w:rsidP="00821B20">
      <w:pPr>
        <w:spacing w:before="15" w:after="15" w:line="240" w:lineRule="auto"/>
        <w:rPr>
          <w:rFonts w:cstheme="minorHAnsi"/>
          <w:sz w:val="20"/>
          <w:szCs w:val="20"/>
        </w:rPr>
      </w:pPr>
    </w:p>
    <w:sectPr w:rsidR="00982C51" w:rsidRPr="00C64C6F" w:rsidSect="00821B2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851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82CF28" w14:textId="77777777" w:rsidR="00F74773" w:rsidRDefault="00F74773" w:rsidP="00F74773">
      <w:pPr>
        <w:spacing w:after="0" w:line="240" w:lineRule="auto"/>
      </w:pPr>
      <w:r>
        <w:separator/>
      </w:r>
    </w:p>
  </w:endnote>
  <w:endnote w:type="continuationSeparator" w:id="0">
    <w:p w14:paraId="1F8EB7C7" w14:textId="77777777" w:rsidR="00F74773" w:rsidRDefault="00F74773" w:rsidP="00F747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F63B77" w14:textId="77777777" w:rsidR="00F74773" w:rsidRDefault="00F7477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DF8616" w14:textId="77777777" w:rsidR="00F74773" w:rsidRDefault="00F74773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6D5C5" w14:textId="77777777" w:rsidR="00F74773" w:rsidRDefault="00F7477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922B71" w14:textId="77777777" w:rsidR="00F74773" w:rsidRDefault="00F74773" w:rsidP="00F74773">
      <w:pPr>
        <w:spacing w:after="0" w:line="240" w:lineRule="auto"/>
      </w:pPr>
      <w:r>
        <w:separator/>
      </w:r>
    </w:p>
  </w:footnote>
  <w:footnote w:type="continuationSeparator" w:id="0">
    <w:p w14:paraId="76EA3276" w14:textId="77777777" w:rsidR="00F74773" w:rsidRDefault="00F74773" w:rsidP="00F747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7D977E" w14:textId="79CAEF2C" w:rsidR="00F74773" w:rsidRDefault="00F74773">
    <w:pPr>
      <w:pStyle w:val="Cabealho"/>
    </w:pPr>
    <w:r>
      <w:rPr>
        <w:noProof/>
      </w:rPr>
      <w:pict w14:anchorId="17E9A77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8977047" o:spid="_x0000_s2050" type="#_x0000_t136" style="position:absolute;margin-left:0;margin-top:0;width:637.55pt;height:41.55pt;rotation:315;z-index:-251655168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45/21 - EFEITOS A PARTIR DE 1º.07.2021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6E871F" w14:textId="595D9838" w:rsidR="00F74773" w:rsidRDefault="00F74773">
    <w:pPr>
      <w:pStyle w:val="Cabealho"/>
    </w:pPr>
    <w:r>
      <w:rPr>
        <w:noProof/>
      </w:rPr>
      <w:pict w14:anchorId="36D30B1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8977048" o:spid="_x0000_s2051" type="#_x0000_t136" style="position:absolute;margin-left:0;margin-top:0;width:637.55pt;height:41.55pt;rotation:315;z-index:-251653120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45/21 - EFEITOS A PARTIR DE 1º.07.2021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20D438" w14:textId="6F551AB9" w:rsidR="00F74773" w:rsidRDefault="00F74773">
    <w:pPr>
      <w:pStyle w:val="Cabealho"/>
    </w:pPr>
    <w:r>
      <w:rPr>
        <w:noProof/>
      </w:rPr>
      <w:pict w14:anchorId="6EA5F28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8977046" o:spid="_x0000_s2049" type="#_x0000_t136" style="position:absolute;margin-left:0;margin-top:0;width:637.55pt;height:41.55pt;rotation:315;z-index:-251657216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45/21 - EFEITOS A PARTIR DE 1º.07.2021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47FB"/>
    <w:rsid w:val="00155B8E"/>
    <w:rsid w:val="00821B20"/>
    <w:rsid w:val="009447FB"/>
    <w:rsid w:val="00982C51"/>
    <w:rsid w:val="00C64C6F"/>
    <w:rsid w:val="00F74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34ED3F57"/>
  <w15:chartTrackingRefBased/>
  <w15:docId w15:val="{DB248986-8AA2-490C-9C86-E33D4C3BF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">
    <w:name w:val="texto_centralizado"/>
    <w:basedOn w:val="Normal"/>
    <w:rsid w:val="00155B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centralizado">
    <w:name w:val="new_texto_centralizado"/>
    <w:basedOn w:val="Normal"/>
    <w:rsid w:val="00155B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155B8E"/>
    <w:rPr>
      <w:b/>
      <w:bCs/>
    </w:rPr>
  </w:style>
  <w:style w:type="paragraph" w:customStyle="1" w:styleId="newtextojustificadorecuoprimeiralinha">
    <w:name w:val="new_texto_justificado_recuo_primeira_linha"/>
    <w:basedOn w:val="Normal"/>
    <w:rsid w:val="00155B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alinhadodireita">
    <w:name w:val="new_texto_alinhado_direita"/>
    <w:basedOn w:val="Normal"/>
    <w:rsid w:val="00155B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155B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155B8E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F7477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74773"/>
  </w:style>
  <w:style w:type="paragraph" w:styleId="Rodap">
    <w:name w:val="footer"/>
    <w:basedOn w:val="Normal"/>
    <w:link w:val="RodapChar"/>
    <w:uiPriority w:val="99"/>
    <w:unhideWhenUsed/>
    <w:rsid w:val="00F7477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747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48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143516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sei.sistemas.ro.gov.br/sei/controlador_externo.php?acao=documento_conferir&amp;id_orgao_acesso_externo=0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diof.ro.gov.br/data/uploads/2017/04/Doe-05_04_2017.pdf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B6DE3A-173E-436A-9737-8C1200CF54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303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N. 023/2020/GAB/CRE</dc:title>
  <dc:subject>Dispõe sobre a suspensão temporária da aplicação de artigo na Instrução Normativa n. 017/2019/GAB/CRE, que institui o Preço Médio Ponderado a Consumidor Final – PMPF no Estado de Rondônia, e dá outras providências.</dc:subject>
  <dc:creator>Sefin Getri</dc:creator>
  <cp:keywords/>
  <dc:description/>
  <cp:lastModifiedBy>Sefin Getri</cp:lastModifiedBy>
  <cp:revision>3</cp:revision>
  <dcterms:created xsi:type="dcterms:W3CDTF">2020-07-01T18:23:00Z</dcterms:created>
  <dcterms:modified xsi:type="dcterms:W3CDTF">2021-06-23T17:54:00Z</dcterms:modified>
</cp:coreProperties>
</file>