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3B793E" w14:textId="35632FC5" w:rsidR="00C90CBD" w:rsidRPr="00C90CBD" w:rsidRDefault="00C90CBD" w:rsidP="00C90CBD">
      <w:pPr>
        <w:spacing w:after="0" w:line="240" w:lineRule="auto"/>
        <w:rPr>
          <w:rFonts w:ascii="Times New Roman" w:eastAsia="Times New Roman" w:hAnsi="Times New Roman" w:cs="Times New Roman"/>
          <w:color w:val="000000"/>
          <w:sz w:val="18"/>
          <w:szCs w:val="18"/>
          <w:lang w:eastAsia="pt-BR"/>
        </w:rPr>
      </w:pPr>
      <w:r w:rsidRPr="00C90CBD">
        <w:rPr>
          <w:rFonts w:ascii="Times New Roman" w:eastAsia="Times New Roman" w:hAnsi="Times New Roman" w:cs="Times New Roman"/>
          <w:color w:val="000000"/>
          <w:sz w:val="18"/>
          <w:szCs w:val="18"/>
          <w:lang w:eastAsia="pt-BR"/>
        </w:rPr>
        <w:t>Diário Oficial do Estado de Rondônia nº 113</w:t>
      </w:r>
      <w:r w:rsidR="00CB4C3B">
        <w:rPr>
          <w:rFonts w:ascii="Times New Roman" w:eastAsia="Times New Roman" w:hAnsi="Times New Roman" w:cs="Times New Roman"/>
          <w:color w:val="000000"/>
          <w:sz w:val="18"/>
          <w:szCs w:val="18"/>
          <w:lang w:eastAsia="pt-BR"/>
        </w:rPr>
        <w:t>.1 - Suplemento</w:t>
      </w:r>
      <w:r w:rsidRPr="00C90CBD">
        <w:rPr>
          <w:rFonts w:ascii="Times New Roman" w:eastAsia="Times New Roman" w:hAnsi="Times New Roman" w:cs="Times New Roman"/>
          <w:color w:val="000000"/>
          <w:sz w:val="18"/>
          <w:szCs w:val="18"/>
          <w:lang w:eastAsia="pt-BR"/>
        </w:rPr>
        <w:br/>
        <w:t>Disponibilização: 15/06/2020</w:t>
      </w:r>
      <w:r w:rsidRPr="00C90CBD">
        <w:rPr>
          <w:rFonts w:ascii="Times New Roman" w:eastAsia="Times New Roman" w:hAnsi="Times New Roman" w:cs="Times New Roman"/>
          <w:color w:val="000000"/>
          <w:sz w:val="18"/>
          <w:szCs w:val="18"/>
          <w:lang w:eastAsia="pt-BR"/>
        </w:rPr>
        <w:br/>
        <w:t>Publicação: 12/06/2020</w:t>
      </w:r>
    </w:p>
    <w:p w14:paraId="55A6FD0A" w14:textId="4C9B12D3" w:rsidR="00C90CBD" w:rsidRPr="00C90CBD" w:rsidRDefault="00C90CBD" w:rsidP="00C90CBD">
      <w:pPr>
        <w:spacing w:after="0" w:line="240" w:lineRule="auto"/>
        <w:jc w:val="center"/>
        <w:rPr>
          <w:rFonts w:ascii="Times New Roman" w:eastAsia="Times New Roman" w:hAnsi="Times New Roman" w:cs="Times New Roman"/>
          <w:color w:val="000000"/>
          <w:sz w:val="24"/>
          <w:szCs w:val="24"/>
          <w:lang w:eastAsia="pt-BR"/>
        </w:rPr>
      </w:pPr>
      <w:r w:rsidRPr="00C90CBD">
        <w:rPr>
          <w:rFonts w:ascii="Times New Roman" w:hAnsi="Times New Roman" w:cs="Times New Roman"/>
          <w:noProof/>
          <w:sz w:val="24"/>
          <w:szCs w:val="24"/>
        </w:rPr>
        <w:drawing>
          <wp:inline distT="0" distB="0" distL="0" distR="0" wp14:anchorId="6369811C" wp14:editId="3CB37BA4">
            <wp:extent cx="929640" cy="716280"/>
            <wp:effectExtent l="0" t="0" r="0" b="762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929640" cy="716280"/>
                    </a:xfrm>
                    <a:prstGeom prst="rect">
                      <a:avLst/>
                    </a:prstGeom>
                    <a:noFill/>
                    <a:ln>
                      <a:noFill/>
                    </a:ln>
                  </pic:spPr>
                </pic:pic>
              </a:graphicData>
            </a:graphic>
          </wp:inline>
        </w:drawing>
      </w:r>
    </w:p>
    <w:p w14:paraId="02464759" w14:textId="77777777" w:rsidR="00C90CBD" w:rsidRPr="00C90CBD" w:rsidRDefault="00C90CBD" w:rsidP="00C90CBD">
      <w:pPr>
        <w:spacing w:after="0" w:line="240" w:lineRule="auto"/>
        <w:jc w:val="center"/>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br/>
        <w:t>Casa Civil - CASA CIVIL</w:t>
      </w:r>
      <w:r w:rsidRPr="00C90CBD">
        <w:rPr>
          <w:rFonts w:ascii="Times New Roman" w:eastAsia="Times New Roman" w:hAnsi="Times New Roman" w:cs="Times New Roman"/>
          <w:color w:val="000000"/>
          <w:sz w:val="24"/>
          <w:szCs w:val="24"/>
          <w:lang w:eastAsia="pt-BR"/>
        </w:rPr>
        <w:br/>
        <w:t>  </w:t>
      </w:r>
    </w:p>
    <w:p w14:paraId="5D2BC539" w14:textId="77777777" w:rsidR="00C90CBD" w:rsidRPr="00C90CBD" w:rsidRDefault="00C90CBD" w:rsidP="00C90CBD">
      <w:pPr>
        <w:spacing w:before="120" w:after="120" w:line="240" w:lineRule="auto"/>
        <w:ind w:left="120" w:right="120"/>
        <w:jc w:val="center"/>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DECRETO N° 25.135, DE 12 DE JUNHO DE 2020.</w:t>
      </w:r>
    </w:p>
    <w:p w14:paraId="42BE0537" w14:textId="77777777" w:rsid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p>
    <w:p w14:paraId="7D73655B" w14:textId="047ACB32" w:rsidR="00C90CBD" w:rsidRPr="00C90CBD" w:rsidRDefault="00C90CBD" w:rsidP="00C90CBD">
      <w:pPr>
        <w:spacing w:after="0" w:line="240" w:lineRule="auto"/>
        <w:ind w:left="2268"/>
        <w:jc w:val="both"/>
        <w:rPr>
          <w:rFonts w:ascii="Times New Roman" w:eastAsia="Times New Roman" w:hAnsi="Times New Roman" w:cs="Times New Roman"/>
          <w:color w:val="000000"/>
          <w:sz w:val="24"/>
          <w:szCs w:val="24"/>
          <w:lang w:eastAsia="pt-BR"/>
        </w:rPr>
      </w:pPr>
      <w:r w:rsidRPr="00C90CBD">
        <w:rPr>
          <w:rFonts w:ascii="Times New Roman" w:hAnsi="Times New Roman" w:cs="Times New Roman"/>
          <w:color w:val="000000"/>
          <w:sz w:val="24"/>
          <w:szCs w:val="24"/>
        </w:rPr>
        <w:t>Dispõe sobre alteração de prazo para pagamento de Imposto sobre Operações Relativas à Circulação de Mercadorias e sobre Prestações de Serviços de Transporte Interestadual e Intermunicipal e de Comunicação - ICMS, em razão do estado de Calamidade Pública.</w:t>
      </w:r>
    </w:p>
    <w:p w14:paraId="74B6D95C" w14:textId="77777777" w:rsid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p>
    <w:p w14:paraId="11968426" w14:textId="4F045828"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O GOVERNADOR DO ESTADO DE RONDÔNIA, no uso das atribuições que lhe confere o inciso V do artigo 65 da Constituição do Estado,</w:t>
      </w:r>
    </w:p>
    <w:p w14:paraId="565869C3"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18DE5461"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bookmarkStart w:id="0" w:name="_Hlk3798768"/>
      <w:r w:rsidRPr="00C90CBD">
        <w:rPr>
          <w:rFonts w:ascii="Times New Roman" w:eastAsia="Times New Roman" w:hAnsi="Times New Roman" w:cs="Times New Roman"/>
          <w:color w:val="000000"/>
          <w:sz w:val="24"/>
          <w:szCs w:val="24"/>
          <w:u w:val="single"/>
          <w:lang w:eastAsia="pt-BR"/>
        </w:rPr>
        <w:t>D</w:t>
      </w:r>
      <w:r w:rsidRPr="00C90CBD">
        <w:rPr>
          <w:rFonts w:ascii="Times New Roman" w:eastAsia="Times New Roman" w:hAnsi="Times New Roman" w:cs="Times New Roman"/>
          <w:color w:val="000000"/>
          <w:sz w:val="24"/>
          <w:szCs w:val="24"/>
          <w:lang w:eastAsia="pt-BR"/>
        </w:rPr>
        <w:t> </w:t>
      </w:r>
      <w:r w:rsidRPr="00C90CBD">
        <w:rPr>
          <w:rFonts w:ascii="Times New Roman" w:eastAsia="Times New Roman" w:hAnsi="Times New Roman" w:cs="Times New Roman"/>
          <w:color w:val="000000"/>
          <w:sz w:val="24"/>
          <w:szCs w:val="24"/>
          <w:u w:val="single"/>
          <w:lang w:eastAsia="pt-BR"/>
        </w:rPr>
        <w:t>E</w:t>
      </w:r>
      <w:r w:rsidRPr="00C90CBD">
        <w:rPr>
          <w:rFonts w:ascii="Times New Roman" w:eastAsia="Times New Roman" w:hAnsi="Times New Roman" w:cs="Times New Roman"/>
          <w:color w:val="000000"/>
          <w:sz w:val="24"/>
          <w:szCs w:val="24"/>
          <w:lang w:eastAsia="pt-BR"/>
        </w:rPr>
        <w:t> </w:t>
      </w:r>
      <w:r w:rsidRPr="00C90CBD">
        <w:rPr>
          <w:rFonts w:ascii="Times New Roman" w:eastAsia="Times New Roman" w:hAnsi="Times New Roman" w:cs="Times New Roman"/>
          <w:color w:val="000000"/>
          <w:sz w:val="24"/>
          <w:szCs w:val="24"/>
          <w:u w:val="single"/>
          <w:lang w:eastAsia="pt-BR"/>
        </w:rPr>
        <w:t>C</w:t>
      </w:r>
      <w:r w:rsidRPr="00C90CBD">
        <w:rPr>
          <w:rFonts w:ascii="Times New Roman" w:eastAsia="Times New Roman" w:hAnsi="Times New Roman" w:cs="Times New Roman"/>
          <w:color w:val="000000"/>
          <w:sz w:val="24"/>
          <w:szCs w:val="24"/>
          <w:lang w:eastAsia="pt-BR"/>
        </w:rPr>
        <w:t> </w:t>
      </w:r>
      <w:r w:rsidRPr="00C90CBD">
        <w:rPr>
          <w:rFonts w:ascii="Times New Roman" w:eastAsia="Times New Roman" w:hAnsi="Times New Roman" w:cs="Times New Roman"/>
          <w:color w:val="000000"/>
          <w:sz w:val="24"/>
          <w:szCs w:val="24"/>
          <w:u w:val="single"/>
          <w:lang w:eastAsia="pt-BR"/>
        </w:rPr>
        <w:t>R</w:t>
      </w:r>
      <w:r w:rsidRPr="00C90CBD">
        <w:rPr>
          <w:rFonts w:ascii="Times New Roman" w:eastAsia="Times New Roman" w:hAnsi="Times New Roman" w:cs="Times New Roman"/>
          <w:color w:val="000000"/>
          <w:sz w:val="24"/>
          <w:szCs w:val="24"/>
          <w:lang w:eastAsia="pt-BR"/>
        </w:rPr>
        <w:t> </w:t>
      </w:r>
      <w:r w:rsidRPr="00C90CBD">
        <w:rPr>
          <w:rFonts w:ascii="Times New Roman" w:eastAsia="Times New Roman" w:hAnsi="Times New Roman" w:cs="Times New Roman"/>
          <w:color w:val="000000"/>
          <w:sz w:val="24"/>
          <w:szCs w:val="24"/>
          <w:u w:val="single"/>
          <w:lang w:eastAsia="pt-BR"/>
        </w:rPr>
        <w:t>E</w:t>
      </w:r>
      <w:r w:rsidRPr="00C90CBD">
        <w:rPr>
          <w:rFonts w:ascii="Times New Roman" w:eastAsia="Times New Roman" w:hAnsi="Times New Roman" w:cs="Times New Roman"/>
          <w:color w:val="000000"/>
          <w:sz w:val="24"/>
          <w:szCs w:val="24"/>
          <w:lang w:eastAsia="pt-BR"/>
        </w:rPr>
        <w:t> </w:t>
      </w:r>
      <w:r w:rsidRPr="00C90CBD">
        <w:rPr>
          <w:rFonts w:ascii="Times New Roman" w:eastAsia="Times New Roman" w:hAnsi="Times New Roman" w:cs="Times New Roman"/>
          <w:color w:val="000000"/>
          <w:sz w:val="24"/>
          <w:szCs w:val="24"/>
          <w:u w:val="single"/>
          <w:lang w:eastAsia="pt-BR"/>
        </w:rPr>
        <w:t>T</w:t>
      </w:r>
      <w:r w:rsidRPr="00C90CBD">
        <w:rPr>
          <w:rFonts w:ascii="Times New Roman" w:eastAsia="Times New Roman" w:hAnsi="Times New Roman" w:cs="Times New Roman"/>
          <w:color w:val="000000"/>
          <w:sz w:val="24"/>
          <w:szCs w:val="24"/>
          <w:lang w:eastAsia="pt-BR"/>
        </w:rPr>
        <w:t> </w:t>
      </w:r>
      <w:r w:rsidRPr="00C90CBD">
        <w:rPr>
          <w:rFonts w:ascii="Times New Roman" w:eastAsia="Times New Roman" w:hAnsi="Times New Roman" w:cs="Times New Roman"/>
          <w:color w:val="000000"/>
          <w:sz w:val="24"/>
          <w:szCs w:val="24"/>
          <w:u w:val="single"/>
          <w:lang w:eastAsia="pt-BR"/>
        </w:rPr>
        <w:t>A</w:t>
      </w:r>
      <w:r w:rsidRPr="00C90CBD">
        <w:rPr>
          <w:rFonts w:ascii="Times New Roman" w:eastAsia="Times New Roman" w:hAnsi="Times New Roman" w:cs="Times New Roman"/>
          <w:color w:val="000000"/>
          <w:sz w:val="24"/>
          <w:szCs w:val="24"/>
          <w:lang w:eastAsia="pt-BR"/>
        </w:rPr>
        <w:t>:</w:t>
      </w:r>
      <w:bookmarkEnd w:id="0"/>
    </w:p>
    <w:p w14:paraId="2457CE5A"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5794269D"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Art. 1°  Os prazos para pagamento do ICMS diferencial de alíquotas previsto no Anexo VIII e lançado com observância ao disposto na Seção I do Capítulo VI do inciso X do art. 57, parte geral do RICMS/RO, aprovado pelo Decreto n° 22.721, de 5 de abril de 2018, com código de receita n° 1659 e devido por contribuintes, cuja classe do CNAE principal seja  ‘45111’, ‘45412’, ‘46141’, ‘46419’, ‘46427’, ‘46435’, ‘46460’, ‘46478’, ‘46494’, ‘46516’, ‘46524’, ‘46613’, ‘46621’, ‘46630’, ‘46648’, ‘46656’, ‘46699’, ‘47130’, ‘47512’, ‘47521’, ‘47539’, ‘47547’, ‘47555’, ‘47563’, ‘47571’, ‘47598’, ‘47610’, ‘47628’, ‘47636’, ‘47725’, ‘47741’, ‘47814’, ‘47822’, ‘47831’, ‘47857’ ou ‘47890’, ficam prorrogados para as seguintes datas:</w:t>
      </w:r>
    </w:p>
    <w:p w14:paraId="699A3FA8"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5D88FC14"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xml:space="preserve">I - </w:t>
      </w:r>
      <w:proofErr w:type="gramStart"/>
      <w:r w:rsidRPr="00C90CBD">
        <w:rPr>
          <w:rFonts w:ascii="Times New Roman" w:eastAsia="Times New Roman" w:hAnsi="Times New Roman" w:cs="Times New Roman"/>
          <w:color w:val="000000"/>
          <w:sz w:val="24"/>
          <w:szCs w:val="24"/>
          <w:lang w:eastAsia="pt-BR"/>
        </w:rPr>
        <w:t>data</w:t>
      </w:r>
      <w:proofErr w:type="gramEnd"/>
      <w:r w:rsidRPr="00C90CBD">
        <w:rPr>
          <w:rFonts w:ascii="Times New Roman" w:eastAsia="Times New Roman" w:hAnsi="Times New Roman" w:cs="Times New Roman"/>
          <w:color w:val="000000"/>
          <w:sz w:val="24"/>
          <w:szCs w:val="24"/>
          <w:lang w:eastAsia="pt-BR"/>
        </w:rPr>
        <w:t xml:space="preserve"> original 15 de junho de 2020, para 31 de agosto de 2020;</w:t>
      </w:r>
    </w:p>
    <w:p w14:paraId="6B3B6241"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60355365"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xml:space="preserve">II - </w:t>
      </w:r>
      <w:proofErr w:type="gramStart"/>
      <w:r w:rsidRPr="00C90CBD">
        <w:rPr>
          <w:rFonts w:ascii="Times New Roman" w:eastAsia="Times New Roman" w:hAnsi="Times New Roman" w:cs="Times New Roman"/>
          <w:color w:val="000000"/>
          <w:sz w:val="24"/>
          <w:szCs w:val="24"/>
          <w:lang w:eastAsia="pt-BR"/>
        </w:rPr>
        <w:t>data</w:t>
      </w:r>
      <w:proofErr w:type="gramEnd"/>
      <w:r w:rsidRPr="00C90CBD">
        <w:rPr>
          <w:rFonts w:ascii="Times New Roman" w:eastAsia="Times New Roman" w:hAnsi="Times New Roman" w:cs="Times New Roman"/>
          <w:color w:val="000000"/>
          <w:sz w:val="24"/>
          <w:szCs w:val="24"/>
          <w:lang w:eastAsia="pt-BR"/>
        </w:rPr>
        <w:t xml:space="preserve"> original 30 de junho de 2020, para 15 de setembro de 2020;</w:t>
      </w:r>
    </w:p>
    <w:p w14:paraId="78CD263A"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7140656B"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III - data original 15 de julho de 2020, para 30 de setembro de 2020; e</w:t>
      </w:r>
    </w:p>
    <w:p w14:paraId="4E7FBEDE"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15CA3460"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xml:space="preserve">IV - </w:t>
      </w:r>
      <w:proofErr w:type="gramStart"/>
      <w:r w:rsidRPr="00C90CBD">
        <w:rPr>
          <w:rFonts w:ascii="Times New Roman" w:eastAsia="Times New Roman" w:hAnsi="Times New Roman" w:cs="Times New Roman"/>
          <w:color w:val="000000"/>
          <w:sz w:val="24"/>
          <w:szCs w:val="24"/>
          <w:lang w:eastAsia="pt-BR"/>
        </w:rPr>
        <w:t>data</w:t>
      </w:r>
      <w:proofErr w:type="gramEnd"/>
      <w:r w:rsidRPr="00C90CBD">
        <w:rPr>
          <w:rFonts w:ascii="Times New Roman" w:eastAsia="Times New Roman" w:hAnsi="Times New Roman" w:cs="Times New Roman"/>
          <w:color w:val="000000"/>
          <w:sz w:val="24"/>
          <w:szCs w:val="24"/>
          <w:lang w:eastAsia="pt-BR"/>
        </w:rPr>
        <w:t xml:space="preserve"> original 31 de julho de 2020, para 15 de outubro de 2020.</w:t>
      </w:r>
    </w:p>
    <w:p w14:paraId="094805AB"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2B0E2CD7"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Art. 2°  Os prazos para pagamento do ICMS</w:t>
      </w:r>
      <w:r w:rsidRPr="00C90CBD">
        <w:rPr>
          <w:rFonts w:ascii="Times New Roman" w:eastAsia="Times New Roman" w:hAnsi="Times New Roman" w:cs="Times New Roman"/>
          <w:b/>
          <w:bCs/>
          <w:color w:val="000000"/>
          <w:sz w:val="24"/>
          <w:szCs w:val="24"/>
          <w:lang w:eastAsia="pt-BR"/>
        </w:rPr>
        <w:t> </w:t>
      </w:r>
      <w:r w:rsidRPr="00C90CBD">
        <w:rPr>
          <w:rFonts w:ascii="Times New Roman" w:eastAsia="Times New Roman" w:hAnsi="Times New Roman" w:cs="Times New Roman"/>
          <w:color w:val="000000"/>
          <w:sz w:val="24"/>
          <w:szCs w:val="24"/>
          <w:lang w:eastAsia="pt-BR"/>
        </w:rPr>
        <w:t>devido nas operações, com antecipação e encerramento da</w:t>
      </w:r>
      <w:r w:rsidRPr="00C90CBD">
        <w:rPr>
          <w:rFonts w:ascii="Times New Roman" w:eastAsia="Times New Roman" w:hAnsi="Times New Roman" w:cs="Times New Roman"/>
          <w:b/>
          <w:bCs/>
          <w:color w:val="0000FF"/>
          <w:sz w:val="24"/>
          <w:szCs w:val="24"/>
          <w:lang w:eastAsia="pt-BR"/>
        </w:rPr>
        <w:t> </w:t>
      </w:r>
      <w:r w:rsidRPr="00C90CBD">
        <w:rPr>
          <w:rFonts w:ascii="Times New Roman" w:eastAsia="Times New Roman" w:hAnsi="Times New Roman" w:cs="Times New Roman"/>
          <w:color w:val="000000"/>
          <w:sz w:val="24"/>
          <w:szCs w:val="24"/>
          <w:lang w:eastAsia="pt-BR"/>
        </w:rPr>
        <w:t xml:space="preserve">fase de tributação previsto no inciso II do art. 19 do Anexo VI e lançado com observância ao disposto no inciso X do art. 57, parte geral do RICMS/RO, aprovado pelo Decreto n° 22.721, de 5 de abril de 2018, com código de receita n° 1231 e devido por contribuintes, cuja classe do CNAE principal seja  ‘45111’, ‘45412’, ‘46141’, ‘46419’, ‘46427’, ‘46435’, ‘46460’, ‘46478’, ‘46494’, ‘46516’, ‘46524’, ‘46613’, ‘46621’, ‘46630’, ‘46648’, ‘46656’, ‘46699’, ‘47130’, ‘47512’, ‘47521’, ‘47539’, ‘47547’, ‘47555’, ‘47563’, ‘47571’, ‘47598’, ‘47610’, ‘47628’, </w:t>
      </w:r>
      <w:r w:rsidRPr="00C90CBD">
        <w:rPr>
          <w:rFonts w:ascii="Times New Roman" w:eastAsia="Times New Roman" w:hAnsi="Times New Roman" w:cs="Times New Roman"/>
          <w:color w:val="000000"/>
          <w:sz w:val="24"/>
          <w:szCs w:val="24"/>
          <w:lang w:eastAsia="pt-BR"/>
        </w:rPr>
        <w:lastRenderedPageBreak/>
        <w:t>‘47636’, ‘47725’, ‘47741’, ‘47814’, ‘47822’, ‘47831’, ‘47857’ ou ‘47890’, ficam prorrogados para as seguintes datas:</w:t>
      </w:r>
    </w:p>
    <w:p w14:paraId="59DB0507"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425CBDFA"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xml:space="preserve">I - </w:t>
      </w:r>
      <w:proofErr w:type="gramStart"/>
      <w:r w:rsidRPr="00C90CBD">
        <w:rPr>
          <w:rFonts w:ascii="Times New Roman" w:eastAsia="Times New Roman" w:hAnsi="Times New Roman" w:cs="Times New Roman"/>
          <w:color w:val="000000"/>
          <w:sz w:val="24"/>
          <w:szCs w:val="24"/>
          <w:lang w:eastAsia="pt-BR"/>
        </w:rPr>
        <w:t>data</w:t>
      </w:r>
      <w:proofErr w:type="gramEnd"/>
      <w:r w:rsidRPr="00C90CBD">
        <w:rPr>
          <w:rFonts w:ascii="Times New Roman" w:eastAsia="Times New Roman" w:hAnsi="Times New Roman" w:cs="Times New Roman"/>
          <w:color w:val="000000"/>
          <w:sz w:val="24"/>
          <w:szCs w:val="24"/>
          <w:lang w:eastAsia="pt-BR"/>
        </w:rPr>
        <w:t xml:space="preserve"> original 15 de junho de 2020, para 31 de agosto de 2020;</w:t>
      </w:r>
    </w:p>
    <w:p w14:paraId="7AF0F0E4"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08564934"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xml:space="preserve">II - </w:t>
      </w:r>
      <w:proofErr w:type="gramStart"/>
      <w:r w:rsidRPr="00C90CBD">
        <w:rPr>
          <w:rFonts w:ascii="Times New Roman" w:eastAsia="Times New Roman" w:hAnsi="Times New Roman" w:cs="Times New Roman"/>
          <w:color w:val="000000"/>
          <w:sz w:val="24"/>
          <w:szCs w:val="24"/>
          <w:lang w:eastAsia="pt-BR"/>
        </w:rPr>
        <w:t>data</w:t>
      </w:r>
      <w:proofErr w:type="gramEnd"/>
      <w:r w:rsidRPr="00C90CBD">
        <w:rPr>
          <w:rFonts w:ascii="Times New Roman" w:eastAsia="Times New Roman" w:hAnsi="Times New Roman" w:cs="Times New Roman"/>
          <w:color w:val="000000"/>
          <w:sz w:val="24"/>
          <w:szCs w:val="24"/>
          <w:lang w:eastAsia="pt-BR"/>
        </w:rPr>
        <w:t xml:space="preserve"> original em 30 de junho de 2020, para 15 de setembro de 2020; </w:t>
      </w:r>
    </w:p>
    <w:p w14:paraId="7142F26E"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305B5C0D"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III - data original em 15 de julho de 2020, para 30 de setembro de 2020; e</w:t>
      </w:r>
    </w:p>
    <w:p w14:paraId="3BE71C64"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2C38EE9D"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xml:space="preserve">IV - </w:t>
      </w:r>
      <w:proofErr w:type="gramStart"/>
      <w:r w:rsidRPr="00C90CBD">
        <w:rPr>
          <w:rFonts w:ascii="Times New Roman" w:eastAsia="Times New Roman" w:hAnsi="Times New Roman" w:cs="Times New Roman"/>
          <w:color w:val="000000"/>
          <w:sz w:val="24"/>
          <w:szCs w:val="24"/>
          <w:lang w:eastAsia="pt-BR"/>
        </w:rPr>
        <w:t>data</w:t>
      </w:r>
      <w:proofErr w:type="gramEnd"/>
      <w:r w:rsidRPr="00C90CBD">
        <w:rPr>
          <w:rFonts w:ascii="Times New Roman" w:eastAsia="Times New Roman" w:hAnsi="Times New Roman" w:cs="Times New Roman"/>
          <w:color w:val="000000"/>
          <w:sz w:val="24"/>
          <w:szCs w:val="24"/>
          <w:lang w:eastAsia="pt-BR"/>
        </w:rPr>
        <w:t xml:space="preserve"> original em 31 de julho de 2020, para 15 de outubro de 2020.</w:t>
      </w:r>
    </w:p>
    <w:p w14:paraId="1F26BF0D"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2C7C0A2D"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Art. 3°  Os prazos para pagamento do ICMS antecipado, previsto no Anexo VII e lançado com observância ao disposto no inciso XV do art. 57, parte geral do RICMS/RO, aprovado pelo Decreto n° 22.721, de 5 de abril de 2018, com código de receita n° 1658 e devido por contribuintes cuja classe do CNAE principal seja ‘45111’, ‘45412’, ‘46141’, ‘46419’, ‘46427’, ‘46435’, ‘46460’, ‘46478’, ‘46494’, ‘46516’, ‘46524’, ‘46613’, ‘46621’, ‘46630’, ‘46648’, ‘46656’, ‘46699’, ‘47130’, ‘47512’, ‘47521’, ‘47539’, ‘47547’, ‘47555’, ‘47563’, ‘47571’, ‘47598’, ‘47610’, ‘47628’, ‘47636’, ‘47725’, ‘47741’, ‘47814’, ‘47822’, ‘47831’, ‘47857’ ou ‘47890’, prorrogam-se para as datas subsequentes:</w:t>
      </w:r>
    </w:p>
    <w:p w14:paraId="2D9F1985"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4BA2CD7F"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xml:space="preserve">I - </w:t>
      </w:r>
      <w:proofErr w:type="gramStart"/>
      <w:r w:rsidRPr="00C90CBD">
        <w:rPr>
          <w:rFonts w:ascii="Times New Roman" w:eastAsia="Times New Roman" w:hAnsi="Times New Roman" w:cs="Times New Roman"/>
          <w:color w:val="000000"/>
          <w:sz w:val="24"/>
          <w:szCs w:val="24"/>
          <w:lang w:eastAsia="pt-BR"/>
        </w:rPr>
        <w:t>data</w:t>
      </w:r>
      <w:proofErr w:type="gramEnd"/>
      <w:r w:rsidRPr="00C90CBD">
        <w:rPr>
          <w:rFonts w:ascii="Times New Roman" w:eastAsia="Times New Roman" w:hAnsi="Times New Roman" w:cs="Times New Roman"/>
          <w:color w:val="000000"/>
          <w:sz w:val="24"/>
          <w:szCs w:val="24"/>
          <w:lang w:eastAsia="pt-BR"/>
        </w:rPr>
        <w:t xml:space="preserve"> original 20 de junho de 2020, para 5 de setembro de 2020;</w:t>
      </w:r>
    </w:p>
    <w:p w14:paraId="3FB2543C"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37564622"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xml:space="preserve">II - </w:t>
      </w:r>
      <w:proofErr w:type="gramStart"/>
      <w:r w:rsidRPr="00C90CBD">
        <w:rPr>
          <w:rFonts w:ascii="Times New Roman" w:eastAsia="Times New Roman" w:hAnsi="Times New Roman" w:cs="Times New Roman"/>
          <w:color w:val="000000"/>
          <w:sz w:val="24"/>
          <w:szCs w:val="24"/>
          <w:lang w:eastAsia="pt-BR"/>
        </w:rPr>
        <w:t>data</w:t>
      </w:r>
      <w:proofErr w:type="gramEnd"/>
      <w:r w:rsidRPr="00C90CBD">
        <w:rPr>
          <w:rFonts w:ascii="Times New Roman" w:eastAsia="Times New Roman" w:hAnsi="Times New Roman" w:cs="Times New Roman"/>
          <w:color w:val="000000"/>
          <w:sz w:val="24"/>
          <w:szCs w:val="24"/>
          <w:lang w:eastAsia="pt-BR"/>
        </w:rPr>
        <w:t xml:space="preserve"> original 5 de julho de 2020, para 20 de setembro de 2020; e</w:t>
      </w:r>
    </w:p>
    <w:p w14:paraId="03CD5302"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76F6203B"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III - data original 20 de julho de 2020, para 5 de outubro de 2020.</w:t>
      </w:r>
    </w:p>
    <w:p w14:paraId="5B3F7397"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2C4240F2"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Parágrafo único. Na hipótese em que o contribuinte comprovar a venda da mercadoria que originou os lançamentos, até as novas datas previstas nos incisos deste artigo poderá ser feita a exclusão do lançamento.</w:t>
      </w:r>
    </w:p>
    <w:p w14:paraId="04C25CA2"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2F6868BA"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Art. 4</w:t>
      </w:r>
      <w:proofErr w:type="gramStart"/>
      <w:r w:rsidRPr="00C90CBD">
        <w:rPr>
          <w:rFonts w:ascii="Times New Roman" w:eastAsia="Times New Roman" w:hAnsi="Times New Roman" w:cs="Times New Roman"/>
          <w:color w:val="000000"/>
          <w:sz w:val="24"/>
          <w:szCs w:val="24"/>
          <w:lang w:eastAsia="pt-BR"/>
        </w:rPr>
        <w:t>°  As</w:t>
      </w:r>
      <w:proofErr w:type="gramEnd"/>
      <w:r w:rsidRPr="00C90CBD">
        <w:rPr>
          <w:rFonts w:ascii="Times New Roman" w:eastAsia="Times New Roman" w:hAnsi="Times New Roman" w:cs="Times New Roman"/>
          <w:color w:val="000000"/>
          <w:sz w:val="24"/>
          <w:szCs w:val="24"/>
          <w:lang w:eastAsia="pt-BR"/>
        </w:rPr>
        <w:t xml:space="preserve"> prorrogações dos prazos não implicam direito à restituição de quantias pagas, eventualmente, antes dos novos vencimentos.</w:t>
      </w:r>
    </w:p>
    <w:p w14:paraId="5386720C"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67D22553"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Art. 5°  As disposições deste Decreto estão em consonância à publicação do Decreto n° 24.887, de 20 de março de 2020, que “Declara Estado de Calamidade Pública em todo o território do Estado de Rondônia, para fins de prevenção e enfrentamento à pandemia causada pelo novo Coronavírus - COVID-19 e revoga o Decreto n° 24.871, de 16 de março de 2020.”, e suas alterações, bem como diante da problemática, advinda pela pandemia do Coronavírus, no cumprimento dos prazos junto à Secretaria de Estado de Finanças - SEFIN.</w:t>
      </w:r>
    </w:p>
    <w:p w14:paraId="03EEE1BC"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7E569115"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Art. 6</w:t>
      </w:r>
      <w:proofErr w:type="gramStart"/>
      <w:r w:rsidRPr="00C90CBD">
        <w:rPr>
          <w:rFonts w:ascii="Times New Roman" w:eastAsia="Times New Roman" w:hAnsi="Times New Roman" w:cs="Times New Roman"/>
          <w:color w:val="000000"/>
          <w:sz w:val="24"/>
          <w:szCs w:val="24"/>
          <w:lang w:eastAsia="pt-BR"/>
        </w:rPr>
        <w:t>°  Este</w:t>
      </w:r>
      <w:proofErr w:type="gramEnd"/>
      <w:r w:rsidRPr="00C90CBD">
        <w:rPr>
          <w:rFonts w:ascii="Times New Roman" w:eastAsia="Times New Roman" w:hAnsi="Times New Roman" w:cs="Times New Roman"/>
          <w:color w:val="000000"/>
          <w:sz w:val="24"/>
          <w:szCs w:val="24"/>
          <w:lang w:eastAsia="pt-BR"/>
        </w:rPr>
        <w:t xml:space="preserve"> Decreto entra em vigor na data da publicação.</w:t>
      </w:r>
    </w:p>
    <w:p w14:paraId="5A08BDC6"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1C654B8B"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xml:space="preserve">Palácio do Governo do Estado de Rondônia, </w:t>
      </w:r>
      <w:proofErr w:type="gramStart"/>
      <w:r w:rsidRPr="00C90CBD">
        <w:rPr>
          <w:rFonts w:ascii="Times New Roman" w:eastAsia="Times New Roman" w:hAnsi="Times New Roman" w:cs="Times New Roman"/>
          <w:color w:val="000000"/>
          <w:sz w:val="24"/>
          <w:szCs w:val="24"/>
          <w:lang w:eastAsia="pt-BR"/>
        </w:rPr>
        <w:t>em  12</w:t>
      </w:r>
      <w:proofErr w:type="gramEnd"/>
      <w:r w:rsidRPr="00C90CBD">
        <w:rPr>
          <w:rFonts w:ascii="Times New Roman" w:eastAsia="Times New Roman" w:hAnsi="Times New Roman" w:cs="Times New Roman"/>
          <w:color w:val="000000"/>
          <w:sz w:val="24"/>
          <w:szCs w:val="24"/>
          <w:lang w:eastAsia="pt-BR"/>
        </w:rPr>
        <w:t> de junho de 2020, 132° da República.</w:t>
      </w:r>
    </w:p>
    <w:p w14:paraId="750FDB93"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7C678C90" w14:textId="77777777" w:rsidR="00C90CBD" w:rsidRPr="00C90CBD" w:rsidRDefault="00C90CBD" w:rsidP="00C90CBD">
      <w:pPr>
        <w:spacing w:after="0" w:line="240" w:lineRule="auto"/>
        <w:ind w:left="60" w:right="60"/>
        <w:jc w:val="center"/>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2B885B63" w14:textId="77777777" w:rsidR="00C90CBD" w:rsidRPr="00C90CBD" w:rsidRDefault="00C90CBD" w:rsidP="00C90CBD">
      <w:pPr>
        <w:spacing w:after="0" w:line="240" w:lineRule="auto"/>
        <w:ind w:left="60" w:right="60"/>
        <w:jc w:val="center"/>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b/>
          <w:bCs/>
          <w:color w:val="000000"/>
          <w:sz w:val="24"/>
          <w:szCs w:val="24"/>
          <w:lang w:eastAsia="pt-BR"/>
        </w:rPr>
        <w:t>MARCOS JOSÉ ROCHA DOS SANTOS</w:t>
      </w:r>
    </w:p>
    <w:p w14:paraId="2926AE2C" w14:textId="77777777" w:rsidR="00C90CBD" w:rsidRPr="00C90CBD" w:rsidRDefault="00C90CBD" w:rsidP="00C90CBD">
      <w:pPr>
        <w:spacing w:after="0" w:line="240" w:lineRule="auto"/>
        <w:ind w:left="60" w:right="60"/>
        <w:jc w:val="center"/>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lastRenderedPageBreak/>
        <w:t>Governador</w:t>
      </w:r>
    </w:p>
    <w:p w14:paraId="4BF49338" w14:textId="77777777" w:rsidR="00C90CBD" w:rsidRPr="00C90CBD" w:rsidRDefault="00C90CBD" w:rsidP="00C90CBD">
      <w:pPr>
        <w:spacing w:after="0" w:line="240" w:lineRule="auto"/>
        <w:ind w:left="60" w:right="60"/>
        <w:jc w:val="center"/>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00C09EE5" w14:textId="77777777" w:rsidR="00C90CBD" w:rsidRPr="00C90CBD" w:rsidRDefault="00C90CBD" w:rsidP="00C90CBD">
      <w:pPr>
        <w:spacing w:after="0" w:line="240" w:lineRule="auto"/>
        <w:ind w:left="60" w:right="60"/>
        <w:jc w:val="center"/>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789C589B" w14:textId="77777777" w:rsidR="00C90CBD" w:rsidRPr="00C90CBD" w:rsidRDefault="00C90CBD" w:rsidP="00C90CBD">
      <w:pPr>
        <w:spacing w:after="0" w:line="240" w:lineRule="auto"/>
        <w:ind w:left="60" w:right="60"/>
        <w:jc w:val="center"/>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b/>
          <w:bCs/>
          <w:color w:val="000000"/>
          <w:sz w:val="24"/>
          <w:szCs w:val="24"/>
          <w:lang w:eastAsia="pt-BR"/>
        </w:rPr>
        <w:t>LUIZ FERNANDO PEREIRA DA SILVA</w:t>
      </w:r>
    </w:p>
    <w:p w14:paraId="210032F7" w14:textId="77777777" w:rsidR="00C90CBD" w:rsidRPr="00C90CBD" w:rsidRDefault="00C90CBD" w:rsidP="00C90CBD">
      <w:pPr>
        <w:spacing w:after="0" w:line="240" w:lineRule="auto"/>
        <w:ind w:left="60" w:right="60"/>
        <w:jc w:val="center"/>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Secretário de Estado de Finanças</w:t>
      </w:r>
    </w:p>
    <w:p w14:paraId="1FAFE81A" w14:textId="77777777" w:rsidR="00C90CBD" w:rsidRPr="00C90CBD" w:rsidRDefault="00C90CBD" w:rsidP="00C90CBD">
      <w:pPr>
        <w:spacing w:after="0" w:line="240" w:lineRule="auto"/>
        <w:ind w:left="60" w:right="60"/>
        <w:jc w:val="center"/>
        <w:rPr>
          <w:rFonts w:ascii="Times New Roman" w:eastAsia="Times New Roman" w:hAnsi="Times New Roman" w:cs="Times New Roman"/>
          <w:color w:val="000000"/>
          <w:sz w:val="24"/>
          <w:szCs w:val="24"/>
          <w:lang w:eastAsia="pt-BR"/>
        </w:rPr>
      </w:pPr>
      <w:r w:rsidRPr="00C90CBD">
        <w:rPr>
          <w:rFonts w:ascii="Times New Roman" w:eastAsia="Times New Roman" w:hAnsi="Times New Roman" w:cs="Times New Roman"/>
          <w:color w:val="000000"/>
          <w:sz w:val="24"/>
          <w:szCs w:val="24"/>
          <w:lang w:eastAsia="pt-BR"/>
        </w:rPr>
        <w:t> </w:t>
      </w:r>
    </w:p>
    <w:p w14:paraId="3A67F407" w14:textId="77777777" w:rsidR="00C90CBD" w:rsidRPr="00C90CBD" w:rsidRDefault="00C90CBD" w:rsidP="00C90CBD">
      <w:pPr>
        <w:spacing w:after="0" w:line="240" w:lineRule="auto"/>
        <w:ind w:left="120" w:firstLine="1418"/>
        <w:jc w:val="both"/>
        <w:rPr>
          <w:rFonts w:ascii="Times New Roman" w:eastAsia="Times New Roman" w:hAnsi="Times New Roman" w:cs="Times New Roman"/>
          <w:color w:val="000000"/>
          <w:sz w:val="18"/>
          <w:szCs w:val="18"/>
          <w:lang w:eastAsia="pt-BR"/>
        </w:rPr>
      </w:pPr>
      <w:r w:rsidRPr="00C90CBD">
        <w:rPr>
          <w:rFonts w:ascii="Times New Roman" w:eastAsia="Times New Roman" w:hAnsi="Times New Roman" w:cs="Times New Roman"/>
          <w:color w:val="000000"/>
          <w:sz w:val="18"/>
          <w:szCs w:val="18"/>
          <w:lang w:eastAsia="pt-BR"/>
        </w:rPr>
        <w:t> </w:t>
      </w:r>
    </w:p>
    <w:p w14:paraId="41098E6E" w14:textId="77777777" w:rsidR="00C90CBD" w:rsidRPr="00C90CBD" w:rsidRDefault="00CB4C3B" w:rsidP="00C90CBD">
      <w:pPr>
        <w:spacing w:after="60" w:line="240" w:lineRule="auto"/>
        <w:rPr>
          <w:rFonts w:ascii="Times New Roman" w:eastAsia="Times New Roman" w:hAnsi="Times New Roman" w:cs="Times New Roman"/>
          <w:sz w:val="18"/>
          <w:szCs w:val="18"/>
          <w:lang w:eastAsia="pt-BR"/>
        </w:rPr>
      </w:pPr>
      <w:r>
        <w:rPr>
          <w:rFonts w:ascii="Times New Roman" w:eastAsia="Times New Roman" w:hAnsi="Times New Roman" w:cs="Times New Roman"/>
          <w:sz w:val="18"/>
          <w:szCs w:val="18"/>
          <w:lang w:eastAsia="pt-BR"/>
        </w:rPr>
        <w:pict w14:anchorId="618B0D46">
          <v:rect id="_x0000_i1025"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07"/>
        <w:gridCol w:w="7097"/>
      </w:tblGrid>
      <w:tr w:rsidR="00C90CBD" w:rsidRPr="00C90CBD" w14:paraId="68586A76" w14:textId="77777777" w:rsidTr="00C90CBD">
        <w:trPr>
          <w:tblCellSpacing w:w="15" w:type="dxa"/>
        </w:trPr>
        <w:tc>
          <w:tcPr>
            <w:tcW w:w="0" w:type="auto"/>
            <w:vAlign w:val="center"/>
            <w:hideMark/>
          </w:tcPr>
          <w:p w14:paraId="26A9DC4B" w14:textId="7D2F145F" w:rsidR="00C90CBD" w:rsidRPr="00C90CBD" w:rsidRDefault="00C90CBD" w:rsidP="00C90CBD">
            <w:pPr>
              <w:spacing w:after="0" w:line="240" w:lineRule="auto"/>
              <w:rPr>
                <w:rFonts w:ascii="Times New Roman" w:eastAsia="Times New Roman" w:hAnsi="Times New Roman" w:cs="Times New Roman"/>
                <w:color w:val="000000"/>
                <w:sz w:val="18"/>
                <w:szCs w:val="18"/>
                <w:lang w:eastAsia="pt-BR"/>
              </w:rPr>
            </w:pPr>
            <w:r w:rsidRPr="00C90CBD">
              <w:rPr>
                <w:rFonts w:ascii="Times New Roman" w:hAnsi="Times New Roman" w:cs="Times New Roman"/>
                <w:noProof/>
                <w:sz w:val="18"/>
                <w:szCs w:val="18"/>
              </w:rPr>
              <w:drawing>
                <wp:inline distT="0" distB="0" distL="0" distR="0" wp14:anchorId="2E892B2B" wp14:editId="4F474BAD">
                  <wp:extent cx="845820" cy="571500"/>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5820" cy="571500"/>
                          </a:xfrm>
                          <a:prstGeom prst="rect">
                            <a:avLst/>
                          </a:prstGeom>
                          <a:noFill/>
                          <a:ln>
                            <a:noFill/>
                          </a:ln>
                        </pic:spPr>
                      </pic:pic>
                    </a:graphicData>
                  </a:graphic>
                </wp:inline>
              </w:drawing>
            </w:r>
          </w:p>
        </w:tc>
        <w:tc>
          <w:tcPr>
            <w:tcW w:w="0" w:type="auto"/>
            <w:vAlign w:val="center"/>
            <w:hideMark/>
          </w:tcPr>
          <w:p w14:paraId="5D74E3EA" w14:textId="77777777" w:rsidR="00C90CBD" w:rsidRPr="00C90CBD" w:rsidRDefault="00C90CBD" w:rsidP="00C90CBD">
            <w:pPr>
              <w:spacing w:after="0" w:line="240" w:lineRule="auto"/>
              <w:jc w:val="both"/>
              <w:rPr>
                <w:rFonts w:ascii="Times New Roman" w:eastAsia="Times New Roman" w:hAnsi="Times New Roman" w:cs="Times New Roman"/>
                <w:color w:val="000000"/>
                <w:sz w:val="18"/>
                <w:szCs w:val="18"/>
                <w:lang w:eastAsia="pt-BR"/>
              </w:rPr>
            </w:pPr>
            <w:r w:rsidRPr="00C90CBD">
              <w:rPr>
                <w:rFonts w:ascii="Times New Roman" w:eastAsia="Times New Roman" w:hAnsi="Times New Roman" w:cs="Times New Roman"/>
                <w:color w:val="000000"/>
                <w:sz w:val="18"/>
                <w:szCs w:val="18"/>
                <w:lang w:eastAsia="pt-BR"/>
              </w:rPr>
              <w:t>Documento assinado eletronicamente por </w:t>
            </w:r>
            <w:proofErr w:type="spellStart"/>
            <w:r w:rsidRPr="00C90CBD">
              <w:rPr>
                <w:rFonts w:ascii="Times New Roman" w:eastAsia="Times New Roman" w:hAnsi="Times New Roman" w:cs="Times New Roman"/>
                <w:b/>
                <w:bCs/>
                <w:color w:val="000000"/>
                <w:sz w:val="18"/>
                <w:szCs w:val="18"/>
                <w:lang w:eastAsia="pt-BR"/>
              </w:rPr>
              <w:t>Luis</w:t>
            </w:r>
            <w:proofErr w:type="spellEnd"/>
            <w:r w:rsidRPr="00C90CBD">
              <w:rPr>
                <w:rFonts w:ascii="Times New Roman" w:eastAsia="Times New Roman" w:hAnsi="Times New Roman" w:cs="Times New Roman"/>
                <w:b/>
                <w:bCs/>
                <w:color w:val="000000"/>
                <w:sz w:val="18"/>
                <w:szCs w:val="18"/>
                <w:lang w:eastAsia="pt-BR"/>
              </w:rPr>
              <w:t xml:space="preserve"> Fernando Pereira da Silva</w:t>
            </w:r>
            <w:r w:rsidRPr="00C90CBD">
              <w:rPr>
                <w:rFonts w:ascii="Times New Roman" w:eastAsia="Times New Roman" w:hAnsi="Times New Roman" w:cs="Times New Roman"/>
                <w:color w:val="000000"/>
                <w:sz w:val="18"/>
                <w:szCs w:val="18"/>
                <w:lang w:eastAsia="pt-BR"/>
              </w:rPr>
              <w:t>, </w:t>
            </w:r>
            <w:r w:rsidRPr="00C90CBD">
              <w:rPr>
                <w:rFonts w:ascii="Times New Roman" w:eastAsia="Times New Roman" w:hAnsi="Times New Roman" w:cs="Times New Roman"/>
                <w:b/>
                <w:bCs/>
                <w:color w:val="000000"/>
                <w:sz w:val="18"/>
                <w:szCs w:val="18"/>
                <w:lang w:eastAsia="pt-BR"/>
              </w:rPr>
              <w:t>Secretário(a)</w:t>
            </w:r>
            <w:r w:rsidRPr="00C90CBD">
              <w:rPr>
                <w:rFonts w:ascii="Times New Roman" w:eastAsia="Times New Roman" w:hAnsi="Times New Roman" w:cs="Times New Roman"/>
                <w:color w:val="000000"/>
                <w:sz w:val="18"/>
                <w:szCs w:val="18"/>
                <w:lang w:eastAsia="pt-BR"/>
              </w:rPr>
              <w:t>, em 12/06/2020, às 13:31, conforme horário oficial de Brasília, com fundamento no artigo 18 caput e seus §§ 1º e 2º, do </w:t>
            </w:r>
            <w:hyperlink r:id="rId6" w:tgtFrame="_blank" w:tooltip="Acesse o Decreto" w:history="1">
              <w:r w:rsidRPr="00C90CBD">
                <w:rPr>
                  <w:rFonts w:ascii="Times New Roman" w:eastAsia="Times New Roman" w:hAnsi="Times New Roman" w:cs="Times New Roman"/>
                  <w:color w:val="0000FF"/>
                  <w:sz w:val="18"/>
                  <w:szCs w:val="18"/>
                  <w:u w:val="single"/>
                  <w:lang w:eastAsia="pt-BR"/>
                </w:rPr>
                <w:t>Decreto nº 21.794, de 5 Abril de 2017.</w:t>
              </w:r>
            </w:hyperlink>
          </w:p>
        </w:tc>
      </w:tr>
    </w:tbl>
    <w:p w14:paraId="22F924A2" w14:textId="77777777" w:rsidR="00C90CBD" w:rsidRPr="00C90CBD" w:rsidRDefault="00CB4C3B" w:rsidP="00C90CBD">
      <w:pPr>
        <w:spacing w:after="60" w:line="240" w:lineRule="auto"/>
        <w:rPr>
          <w:rFonts w:ascii="Times New Roman" w:eastAsia="Times New Roman" w:hAnsi="Times New Roman" w:cs="Times New Roman"/>
          <w:sz w:val="18"/>
          <w:szCs w:val="18"/>
          <w:lang w:eastAsia="pt-BR"/>
        </w:rPr>
      </w:pPr>
      <w:r>
        <w:rPr>
          <w:rFonts w:ascii="Times New Roman" w:eastAsia="Times New Roman" w:hAnsi="Times New Roman" w:cs="Times New Roman"/>
          <w:sz w:val="18"/>
          <w:szCs w:val="18"/>
          <w:lang w:eastAsia="pt-BR"/>
        </w:rPr>
        <w:pict w14:anchorId="5F49EA4F">
          <v:rect id="_x0000_i1026"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07"/>
        <w:gridCol w:w="7097"/>
      </w:tblGrid>
      <w:tr w:rsidR="00C90CBD" w:rsidRPr="00C90CBD" w14:paraId="59BB3F4B" w14:textId="77777777" w:rsidTr="00C90CBD">
        <w:trPr>
          <w:tblCellSpacing w:w="15" w:type="dxa"/>
        </w:trPr>
        <w:tc>
          <w:tcPr>
            <w:tcW w:w="0" w:type="auto"/>
            <w:vAlign w:val="center"/>
            <w:hideMark/>
          </w:tcPr>
          <w:p w14:paraId="4AFF26AE" w14:textId="4ABC7DC5" w:rsidR="00C90CBD" w:rsidRPr="00C90CBD" w:rsidRDefault="00C90CBD" w:rsidP="00C90CBD">
            <w:pPr>
              <w:spacing w:after="0" w:line="240" w:lineRule="auto"/>
              <w:rPr>
                <w:rFonts w:ascii="Times New Roman" w:eastAsia="Times New Roman" w:hAnsi="Times New Roman" w:cs="Times New Roman"/>
                <w:color w:val="000000"/>
                <w:sz w:val="18"/>
                <w:szCs w:val="18"/>
                <w:lang w:eastAsia="pt-BR"/>
              </w:rPr>
            </w:pPr>
            <w:r w:rsidRPr="00C90CBD">
              <w:rPr>
                <w:rFonts w:ascii="Times New Roman" w:hAnsi="Times New Roman" w:cs="Times New Roman"/>
                <w:noProof/>
                <w:sz w:val="18"/>
                <w:szCs w:val="18"/>
              </w:rPr>
              <w:drawing>
                <wp:inline distT="0" distB="0" distL="0" distR="0" wp14:anchorId="31AEC2CD" wp14:editId="65AD7709">
                  <wp:extent cx="845820" cy="571500"/>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845820" cy="571500"/>
                          </a:xfrm>
                          <a:prstGeom prst="rect">
                            <a:avLst/>
                          </a:prstGeom>
                          <a:noFill/>
                          <a:ln>
                            <a:noFill/>
                          </a:ln>
                        </pic:spPr>
                      </pic:pic>
                    </a:graphicData>
                  </a:graphic>
                </wp:inline>
              </w:drawing>
            </w:r>
          </w:p>
        </w:tc>
        <w:tc>
          <w:tcPr>
            <w:tcW w:w="0" w:type="auto"/>
            <w:vAlign w:val="center"/>
            <w:hideMark/>
          </w:tcPr>
          <w:p w14:paraId="397BB428" w14:textId="77777777" w:rsidR="00C90CBD" w:rsidRPr="00C90CBD" w:rsidRDefault="00C90CBD" w:rsidP="00C90CBD">
            <w:pPr>
              <w:spacing w:after="0" w:line="240" w:lineRule="auto"/>
              <w:jc w:val="both"/>
              <w:rPr>
                <w:rFonts w:ascii="Times New Roman" w:eastAsia="Times New Roman" w:hAnsi="Times New Roman" w:cs="Times New Roman"/>
                <w:color w:val="000000"/>
                <w:sz w:val="18"/>
                <w:szCs w:val="18"/>
                <w:lang w:eastAsia="pt-BR"/>
              </w:rPr>
            </w:pPr>
            <w:r w:rsidRPr="00C90CBD">
              <w:rPr>
                <w:rFonts w:ascii="Times New Roman" w:eastAsia="Times New Roman" w:hAnsi="Times New Roman" w:cs="Times New Roman"/>
                <w:color w:val="000000"/>
                <w:sz w:val="18"/>
                <w:szCs w:val="18"/>
                <w:lang w:eastAsia="pt-BR"/>
              </w:rPr>
              <w:t>Documento assinado eletronicamente por </w:t>
            </w:r>
            <w:r w:rsidRPr="00C90CBD">
              <w:rPr>
                <w:rFonts w:ascii="Times New Roman" w:eastAsia="Times New Roman" w:hAnsi="Times New Roman" w:cs="Times New Roman"/>
                <w:b/>
                <w:bCs/>
                <w:color w:val="000000"/>
                <w:sz w:val="18"/>
                <w:szCs w:val="18"/>
                <w:lang w:eastAsia="pt-BR"/>
              </w:rPr>
              <w:t>Marcos José Rocha dos Santos</w:t>
            </w:r>
            <w:r w:rsidRPr="00C90CBD">
              <w:rPr>
                <w:rFonts w:ascii="Times New Roman" w:eastAsia="Times New Roman" w:hAnsi="Times New Roman" w:cs="Times New Roman"/>
                <w:color w:val="000000"/>
                <w:sz w:val="18"/>
                <w:szCs w:val="18"/>
                <w:lang w:eastAsia="pt-BR"/>
              </w:rPr>
              <w:t>, </w:t>
            </w:r>
            <w:r w:rsidRPr="00C90CBD">
              <w:rPr>
                <w:rFonts w:ascii="Times New Roman" w:eastAsia="Times New Roman" w:hAnsi="Times New Roman" w:cs="Times New Roman"/>
                <w:b/>
                <w:bCs/>
                <w:color w:val="000000"/>
                <w:sz w:val="18"/>
                <w:szCs w:val="18"/>
                <w:lang w:eastAsia="pt-BR"/>
              </w:rPr>
              <w:t>Governador</w:t>
            </w:r>
            <w:r w:rsidRPr="00C90CBD">
              <w:rPr>
                <w:rFonts w:ascii="Times New Roman" w:eastAsia="Times New Roman" w:hAnsi="Times New Roman" w:cs="Times New Roman"/>
                <w:color w:val="000000"/>
                <w:sz w:val="18"/>
                <w:szCs w:val="18"/>
                <w:lang w:eastAsia="pt-BR"/>
              </w:rPr>
              <w:t>, em 12/06/2020, às 13:43, conforme horário oficial de Brasília, com fundamento no artigo 18 caput e seus §§ 1º e 2º, do </w:t>
            </w:r>
            <w:hyperlink r:id="rId7" w:tgtFrame="_blank" w:tooltip="Acesse o Decreto" w:history="1">
              <w:r w:rsidRPr="00C90CBD">
                <w:rPr>
                  <w:rFonts w:ascii="Times New Roman" w:eastAsia="Times New Roman" w:hAnsi="Times New Roman" w:cs="Times New Roman"/>
                  <w:color w:val="0000FF"/>
                  <w:sz w:val="18"/>
                  <w:szCs w:val="18"/>
                  <w:u w:val="single"/>
                  <w:lang w:eastAsia="pt-BR"/>
                </w:rPr>
                <w:t>Decreto nº 21.794, de 5 Abril de 2017.</w:t>
              </w:r>
            </w:hyperlink>
          </w:p>
        </w:tc>
      </w:tr>
    </w:tbl>
    <w:p w14:paraId="7F77F523" w14:textId="77777777" w:rsidR="00C90CBD" w:rsidRPr="00C90CBD" w:rsidRDefault="00CB4C3B" w:rsidP="00C90CBD">
      <w:pPr>
        <w:spacing w:after="60" w:line="240" w:lineRule="auto"/>
        <w:rPr>
          <w:rFonts w:ascii="Times New Roman" w:eastAsia="Times New Roman" w:hAnsi="Times New Roman" w:cs="Times New Roman"/>
          <w:sz w:val="18"/>
          <w:szCs w:val="18"/>
          <w:lang w:eastAsia="pt-BR"/>
        </w:rPr>
      </w:pPr>
      <w:r>
        <w:rPr>
          <w:rFonts w:ascii="Times New Roman" w:eastAsia="Times New Roman" w:hAnsi="Times New Roman" w:cs="Times New Roman"/>
          <w:sz w:val="18"/>
          <w:szCs w:val="18"/>
          <w:lang w:eastAsia="pt-BR"/>
        </w:rPr>
        <w:pict w14:anchorId="1873EDBE">
          <v:rect id="_x0000_i1027" style="width:0;height:1.5pt" o:hralign="center" o:hrstd="t" o:hrnoshade="t" o:hr="t" fillcolor="black"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71"/>
        <w:gridCol w:w="7133"/>
      </w:tblGrid>
      <w:tr w:rsidR="00C90CBD" w:rsidRPr="00C90CBD" w14:paraId="5D5BA0A5" w14:textId="77777777" w:rsidTr="00C90CBD">
        <w:trPr>
          <w:tblCellSpacing w:w="15" w:type="dxa"/>
        </w:trPr>
        <w:tc>
          <w:tcPr>
            <w:tcW w:w="0" w:type="auto"/>
            <w:vAlign w:val="center"/>
            <w:hideMark/>
          </w:tcPr>
          <w:p w14:paraId="38043833" w14:textId="489D7BF0" w:rsidR="00C90CBD" w:rsidRPr="00C90CBD" w:rsidRDefault="00C90CBD" w:rsidP="00C90CBD">
            <w:pPr>
              <w:spacing w:after="0" w:line="240" w:lineRule="auto"/>
              <w:rPr>
                <w:rFonts w:ascii="Times New Roman" w:eastAsia="Times New Roman" w:hAnsi="Times New Roman" w:cs="Times New Roman"/>
                <w:color w:val="000000"/>
                <w:sz w:val="18"/>
                <w:szCs w:val="18"/>
                <w:lang w:eastAsia="pt-BR"/>
              </w:rPr>
            </w:pPr>
            <w:r w:rsidRPr="00C90CBD">
              <w:rPr>
                <w:rFonts w:ascii="Times New Roman" w:hAnsi="Times New Roman" w:cs="Times New Roman"/>
                <w:noProof/>
                <w:sz w:val="18"/>
                <w:szCs w:val="18"/>
              </w:rPr>
              <w:drawing>
                <wp:inline distT="0" distB="0" distL="0" distR="0" wp14:anchorId="32745F80" wp14:editId="43A268DB">
                  <wp:extent cx="822960" cy="822960"/>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2960" cy="822960"/>
                          </a:xfrm>
                          <a:prstGeom prst="rect">
                            <a:avLst/>
                          </a:prstGeom>
                          <a:noFill/>
                          <a:ln>
                            <a:noFill/>
                          </a:ln>
                        </pic:spPr>
                      </pic:pic>
                    </a:graphicData>
                  </a:graphic>
                </wp:inline>
              </w:drawing>
            </w:r>
          </w:p>
        </w:tc>
        <w:tc>
          <w:tcPr>
            <w:tcW w:w="0" w:type="auto"/>
            <w:vAlign w:val="center"/>
            <w:hideMark/>
          </w:tcPr>
          <w:p w14:paraId="14ECD95E" w14:textId="77777777" w:rsidR="00C90CBD" w:rsidRPr="00C90CBD" w:rsidRDefault="00C90CBD" w:rsidP="00C90CBD">
            <w:pPr>
              <w:spacing w:after="0" w:line="240" w:lineRule="auto"/>
              <w:jc w:val="both"/>
              <w:rPr>
                <w:rFonts w:ascii="Times New Roman" w:eastAsia="Times New Roman" w:hAnsi="Times New Roman" w:cs="Times New Roman"/>
                <w:color w:val="000000"/>
                <w:sz w:val="18"/>
                <w:szCs w:val="18"/>
                <w:lang w:eastAsia="pt-BR"/>
              </w:rPr>
            </w:pPr>
            <w:r w:rsidRPr="00C90CBD">
              <w:rPr>
                <w:rFonts w:ascii="Times New Roman" w:eastAsia="Times New Roman" w:hAnsi="Times New Roman" w:cs="Times New Roman"/>
                <w:color w:val="000000"/>
                <w:sz w:val="18"/>
                <w:szCs w:val="18"/>
                <w:lang w:eastAsia="pt-BR"/>
              </w:rPr>
              <w:t>A autenticidade deste documento pode ser conferida no site </w:t>
            </w:r>
            <w:hyperlink r:id="rId9" w:tgtFrame="_blank" w:tooltip="Página de Autenticidade de Documentos" w:history="1">
              <w:r w:rsidRPr="00C90CBD">
                <w:rPr>
                  <w:rFonts w:ascii="Times New Roman" w:eastAsia="Times New Roman" w:hAnsi="Times New Roman" w:cs="Times New Roman"/>
                  <w:color w:val="0000FF"/>
                  <w:sz w:val="18"/>
                  <w:szCs w:val="18"/>
                  <w:u w:val="single"/>
                  <w:lang w:eastAsia="pt-BR"/>
                </w:rPr>
                <w:t>portal do SEI</w:t>
              </w:r>
            </w:hyperlink>
            <w:r w:rsidRPr="00C90CBD">
              <w:rPr>
                <w:rFonts w:ascii="Times New Roman" w:eastAsia="Times New Roman" w:hAnsi="Times New Roman" w:cs="Times New Roman"/>
                <w:color w:val="000000"/>
                <w:sz w:val="18"/>
                <w:szCs w:val="18"/>
                <w:lang w:eastAsia="pt-BR"/>
              </w:rPr>
              <w:t>, informando o código verificador </w:t>
            </w:r>
            <w:r w:rsidRPr="00C90CBD">
              <w:rPr>
                <w:rFonts w:ascii="Times New Roman" w:eastAsia="Times New Roman" w:hAnsi="Times New Roman" w:cs="Times New Roman"/>
                <w:b/>
                <w:bCs/>
                <w:color w:val="000000"/>
                <w:sz w:val="18"/>
                <w:szCs w:val="18"/>
                <w:lang w:eastAsia="pt-BR"/>
              </w:rPr>
              <w:t>0011969216</w:t>
            </w:r>
            <w:r w:rsidRPr="00C90CBD">
              <w:rPr>
                <w:rFonts w:ascii="Times New Roman" w:eastAsia="Times New Roman" w:hAnsi="Times New Roman" w:cs="Times New Roman"/>
                <w:color w:val="000000"/>
                <w:sz w:val="18"/>
                <w:szCs w:val="18"/>
                <w:lang w:eastAsia="pt-BR"/>
              </w:rPr>
              <w:t> e o código CRC </w:t>
            </w:r>
            <w:r w:rsidRPr="00C90CBD">
              <w:rPr>
                <w:rFonts w:ascii="Times New Roman" w:eastAsia="Times New Roman" w:hAnsi="Times New Roman" w:cs="Times New Roman"/>
                <w:b/>
                <w:bCs/>
                <w:color w:val="000000"/>
                <w:sz w:val="18"/>
                <w:szCs w:val="18"/>
                <w:lang w:eastAsia="pt-BR"/>
              </w:rPr>
              <w:t>D188ACE5</w:t>
            </w:r>
            <w:r w:rsidRPr="00C90CBD">
              <w:rPr>
                <w:rFonts w:ascii="Times New Roman" w:eastAsia="Times New Roman" w:hAnsi="Times New Roman" w:cs="Times New Roman"/>
                <w:color w:val="000000"/>
                <w:sz w:val="18"/>
                <w:szCs w:val="18"/>
                <w:lang w:eastAsia="pt-BR"/>
              </w:rPr>
              <w:t>.</w:t>
            </w:r>
          </w:p>
        </w:tc>
      </w:tr>
    </w:tbl>
    <w:p w14:paraId="3634436A" w14:textId="742E1718" w:rsidR="00D50623" w:rsidRDefault="00D50623" w:rsidP="00C90CBD">
      <w:pPr>
        <w:spacing w:before="15" w:after="15" w:line="240" w:lineRule="auto"/>
      </w:pPr>
    </w:p>
    <w:sectPr w:rsidR="00D5062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5A16"/>
    <w:rsid w:val="000A5A16"/>
    <w:rsid w:val="00BE3810"/>
    <w:rsid w:val="00C90CBD"/>
    <w:rsid w:val="00CB4C3B"/>
    <w:rsid w:val="00D5062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43A09C01"/>
  <w15:chartTrackingRefBased/>
  <w15:docId w15:val="{59D0BA76-79B1-44F2-8AD1-F82E70ADF9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C90CB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centralizartexto">
    <w:name w:val="new_centralizar_texto"/>
    <w:basedOn w:val="Normal"/>
    <w:rsid w:val="00C90CB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ementa">
    <w:name w:val="new_ementa"/>
    <w:basedOn w:val="Normal"/>
    <w:rsid w:val="00C90CBD"/>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textojustificadorecprimeirlinhaespsimp">
    <w:name w:val="new_texto_justificado_rec_primeir_linha_esp_simp"/>
    <w:basedOn w:val="Normal"/>
    <w:rsid w:val="00C90CBD"/>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C90CBD"/>
    <w:rPr>
      <w:b/>
      <w:bCs/>
    </w:rPr>
  </w:style>
  <w:style w:type="paragraph" w:customStyle="1" w:styleId="newtabelatextocentralizado">
    <w:name w:val="new_tabela_texto_centralizado"/>
    <w:basedOn w:val="Normal"/>
    <w:rsid w:val="00C90CBD"/>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C90CB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51520314">
      <w:bodyDiv w:val="1"/>
      <w:marLeft w:val="0"/>
      <w:marRight w:val="0"/>
      <w:marTop w:val="0"/>
      <w:marBottom w:val="0"/>
      <w:divBdr>
        <w:top w:val="none" w:sz="0" w:space="0" w:color="auto"/>
        <w:left w:val="none" w:sz="0" w:space="0" w:color="auto"/>
        <w:bottom w:val="none" w:sz="0" w:space="0" w:color="auto"/>
        <w:right w:val="none" w:sz="0" w:space="0" w:color="auto"/>
      </w:divBdr>
      <w:divsChild>
        <w:div w:id="1493333068">
          <w:marLeft w:val="0"/>
          <w:marRight w:val="0"/>
          <w:marTop w:val="0"/>
          <w:marBottom w:val="0"/>
          <w:divBdr>
            <w:top w:val="single" w:sz="12" w:space="3" w:color="777777"/>
            <w:left w:val="single" w:sz="12" w:space="3" w:color="777777"/>
            <w:bottom w:val="single" w:sz="12" w:space="3" w:color="777777"/>
            <w:right w:val="single" w:sz="12" w:space="3" w:color="777777"/>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webSettings" Target="webSettings.xml"/><Relationship Id="rId7" Type="http://schemas.openxmlformats.org/officeDocument/2006/relationships/hyperlink" Target="http://www.diof.ro.gov.br/data/uploads/2017/04/Doe-05_04_2017.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diof.ro.gov.br/data/uploads/2017/04/Doe-05_04_2017.pdf" TargetMode="External"/><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hyperlink" Target="http://sei.sistemas.ro.gov.br/sei/controlador_externo.php?acao=documento_conferir&amp;id_orgao_acesso_externo=0"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895</Words>
  <Characters>4835</Characters>
  <Application>Microsoft Office Word</Application>
  <DocSecurity>0</DocSecurity>
  <Lines>40</Lines>
  <Paragraphs>11</Paragraphs>
  <ScaleCrop>false</ScaleCrop>
  <Company/>
  <LinksUpToDate>false</LinksUpToDate>
  <CharactersWithSpaces>5719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Sefin Contabilidade</dc:creator>
  <cp:keywords/>
  <dc:description/>
  <cp:lastModifiedBy>Sefin Getri</cp:lastModifiedBy>
  <cp:revision>3</cp:revision>
  <dcterms:created xsi:type="dcterms:W3CDTF">2020-06-12T23:47:00Z</dcterms:created>
  <dcterms:modified xsi:type="dcterms:W3CDTF">2020-06-15T14:16:00Z</dcterms:modified>
</cp:coreProperties>
</file>