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3C05AC" w14:textId="283FE02E" w:rsidR="00E464E4" w:rsidRDefault="00E464E4" w:rsidP="00E464E4">
      <w:pPr>
        <w:spacing w:after="0" w:line="240" w:lineRule="auto"/>
        <w:rPr>
          <w:rFonts w:eastAsia="Times New Roman" w:cstheme="minorHAnsi"/>
          <w:color w:val="FF0000"/>
          <w:kern w:val="0"/>
          <w:sz w:val="20"/>
          <w:szCs w:val="20"/>
          <w:lang w:eastAsia="pt-BR"/>
          <w14:ligatures w14:val="none"/>
        </w:rPr>
      </w:pPr>
      <w:r w:rsidRPr="00E464E4">
        <w:rPr>
          <w:rFonts w:eastAsia="Times New Roman" w:cstheme="minorHAnsi"/>
          <w:color w:val="FF0000"/>
          <w:kern w:val="0"/>
          <w:sz w:val="20"/>
          <w:szCs w:val="20"/>
          <w:lang w:eastAsia="pt-BR"/>
          <w14:ligatures w14:val="none"/>
        </w:rPr>
        <w:t xml:space="preserve"> * Este texto não substitui o publicado no DOE.</w:t>
      </w:r>
    </w:p>
    <w:p w14:paraId="35881A6E" w14:textId="4E85C134" w:rsidR="003D64B8" w:rsidRDefault="003D64B8" w:rsidP="00E464E4">
      <w:pPr>
        <w:spacing w:after="0" w:line="240" w:lineRule="auto"/>
        <w:rPr>
          <w:rFonts w:eastAsia="Times New Roman" w:cstheme="minorHAnsi"/>
          <w:color w:val="FF0000"/>
          <w:kern w:val="0"/>
          <w:sz w:val="20"/>
          <w:szCs w:val="20"/>
          <w:lang w:eastAsia="pt-BR"/>
          <w14:ligatures w14:val="none"/>
        </w:rPr>
      </w:pPr>
    </w:p>
    <w:p w14:paraId="44E7DCC1" w14:textId="77777777" w:rsidR="00AB56C2" w:rsidRPr="008057A1" w:rsidRDefault="00AB56C2" w:rsidP="00AB56C2">
      <w:pPr>
        <w:spacing w:after="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</w:p>
    <w:p w14:paraId="6F690E41" w14:textId="263560CF" w:rsidR="00E464E4" w:rsidRDefault="00AB56C2" w:rsidP="00E464E4">
      <w:pPr>
        <w:spacing w:after="0" w:line="240" w:lineRule="auto"/>
        <w:rPr>
          <w:rFonts w:eastAsia="Times New Roman" w:cstheme="minorHAnsi"/>
          <w:color w:val="FF0000"/>
          <w:kern w:val="0"/>
          <w:sz w:val="20"/>
          <w:szCs w:val="20"/>
          <w:lang w:eastAsia="pt-BR"/>
          <w14:ligatures w14:val="none"/>
        </w:rPr>
      </w:pPr>
      <w:r w:rsidRPr="00087D79">
        <w:rPr>
          <w:rFonts w:eastAsia="Times New Roman" w:cstheme="minorHAnsi"/>
          <w:color w:val="000000"/>
          <w:sz w:val="20"/>
          <w:szCs w:val="20"/>
          <w:lang w:eastAsia="pt-BR"/>
        </w:rPr>
        <w:t xml:space="preserve">Diário Oficial do Estado de Rondônia nº </w:t>
      </w:r>
      <w:r w:rsidR="00933CA6" w:rsidRPr="00087D79">
        <w:rPr>
          <w:rFonts w:eastAsia="Times New Roman" w:cstheme="minorHAnsi"/>
          <w:color w:val="000000"/>
          <w:sz w:val="20"/>
          <w:szCs w:val="20"/>
          <w:lang w:eastAsia="pt-BR"/>
        </w:rPr>
        <w:t>30</w:t>
      </w:r>
      <w:r w:rsidRPr="00087D79">
        <w:rPr>
          <w:rFonts w:eastAsia="Times New Roman" w:cstheme="minorHAnsi"/>
          <w:color w:val="000000"/>
          <w:sz w:val="20"/>
          <w:szCs w:val="20"/>
          <w:lang w:eastAsia="pt-BR"/>
        </w:rPr>
        <w:br/>
        <w:t>Disponibilização: 1</w:t>
      </w:r>
      <w:r w:rsidR="00933CA6" w:rsidRPr="00087D79">
        <w:rPr>
          <w:rFonts w:eastAsia="Times New Roman" w:cstheme="minorHAnsi"/>
          <w:color w:val="000000"/>
          <w:sz w:val="20"/>
          <w:szCs w:val="20"/>
          <w:lang w:eastAsia="pt-BR"/>
        </w:rPr>
        <w:t>4</w:t>
      </w:r>
      <w:r w:rsidRPr="00087D79">
        <w:rPr>
          <w:rFonts w:eastAsia="Times New Roman" w:cstheme="minorHAnsi"/>
          <w:color w:val="000000"/>
          <w:sz w:val="20"/>
          <w:szCs w:val="20"/>
          <w:lang w:eastAsia="pt-BR"/>
        </w:rPr>
        <w:t>/02/2023</w:t>
      </w:r>
      <w:r w:rsidRPr="00087D79">
        <w:rPr>
          <w:rFonts w:eastAsia="Times New Roman" w:cstheme="minorHAnsi"/>
          <w:color w:val="000000"/>
          <w:sz w:val="20"/>
          <w:szCs w:val="20"/>
          <w:lang w:eastAsia="pt-BR"/>
        </w:rPr>
        <w:br/>
        <w:t>Publicação: 1</w:t>
      </w:r>
      <w:r w:rsidR="00933CA6" w:rsidRPr="00087D79">
        <w:rPr>
          <w:rFonts w:eastAsia="Times New Roman" w:cstheme="minorHAnsi"/>
          <w:color w:val="000000"/>
          <w:sz w:val="20"/>
          <w:szCs w:val="20"/>
          <w:lang w:eastAsia="pt-BR"/>
        </w:rPr>
        <w:t>4</w:t>
      </w:r>
      <w:r w:rsidRPr="00087D79">
        <w:rPr>
          <w:rFonts w:eastAsia="Times New Roman" w:cstheme="minorHAnsi"/>
          <w:color w:val="000000"/>
          <w:sz w:val="20"/>
          <w:szCs w:val="20"/>
          <w:lang w:eastAsia="pt-BR"/>
        </w:rPr>
        <w:t>/02/2023</w:t>
      </w:r>
    </w:p>
    <w:p w14:paraId="33168066" w14:textId="014896FC" w:rsidR="003D64B8" w:rsidRDefault="003D64B8" w:rsidP="00E464E4">
      <w:pPr>
        <w:spacing w:after="0" w:line="240" w:lineRule="auto"/>
        <w:rPr>
          <w:rFonts w:eastAsia="Times New Roman" w:cstheme="minorHAnsi"/>
          <w:color w:val="FF0000"/>
          <w:kern w:val="0"/>
          <w:sz w:val="20"/>
          <w:szCs w:val="20"/>
          <w:lang w:eastAsia="pt-BR"/>
          <w14:ligatures w14:val="none"/>
        </w:rPr>
      </w:pPr>
    </w:p>
    <w:p w14:paraId="58D4F16D" w14:textId="4F67A27E" w:rsidR="003D64B8" w:rsidRPr="00E464E4" w:rsidRDefault="003D64B8" w:rsidP="003D64B8">
      <w:pPr>
        <w:spacing w:after="0" w:line="240" w:lineRule="auto"/>
        <w:jc w:val="center"/>
        <w:rPr>
          <w:rFonts w:eastAsia="Times New Roman" w:cstheme="minorHAnsi"/>
          <w:color w:val="FF0000"/>
          <w:kern w:val="0"/>
          <w:sz w:val="20"/>
          <w:szCs w:val="20"/>
          <w:lang w:eastAsia="pt-BR"/>
          <w14:ligatures w14:val="none"/>
        </w:rPr>
      </w:pPr>
      <w:r w:rsidRPr="00CE6FF9">
        <w:rPr>
          <w:noProof/>
          <w:sz w:val="24"/>
          <w:szCs w:val="24"/>
        </w:rPr>
        <w:drawing>
          <wp:inline distT="0" distB="0" distL="0" distR="0" wp14:anchorId="327869E6" wp14:editId="3CDC79DE">
            <wp:extent cx="1228725" cy="940351"/>
            <wp:effectExtent l="0" t="0" r="0" b="0"/>
            <wp:docPr id="3" name="Imagem 3" descr="Imagem digital fictícia de personagem de desenho animado&#10;&#10;Descrição gerada automaticamente com confiança baix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3" descr="Imagem digital fictícia de personagem de desenho animado&#10;&#10;Descrição gerada automaticamente com confiança baixa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4385" cy="9446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EB24856" w14:textId="77777777" w:rsidR="00E464E4" w:rsidRPr="00E464E4" w:rsidRDefault="00E464E4" w:rsidP="00E464E4">
      <w:pPr>
        <w:spacing w:after="0" w:line="240" w:lineRule="auto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788DF590" w14:textId="77777777" w:rsidR="00E464E4" w:rsidRPr="00E464E4" w:rsidRDefault="00E464E4" w:rsidP="00E464E4">
      <w:pPr>
        <w:spacing w:after="0" w:line="240" w:lineRule="auto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GOVERNO DO ESTADO DE RONDÔNIA</w:t>
      </w: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br/>
        <w:t>Casa Civil - CASA CIVIL</w:t>
      </w:r>
    </w:p>
    <w:p w14:paraId="578BEB75" w14:textId="5F14B54D" w:rsidR="00E464E4" w:rsidRPr="00E464E4" w:rsidRDefault="00E464E4" w:rsidP="00E464E4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DECRETO N° 27.901, DE 9 DE FEVEREIRO DE 2023.</w:t>
      </w:r>
    </w:p>
    <w:p w14:paraId="387C2304" w14:textId="77777777" w:rsidR="00E464E4" w:rsidRPr="00E464E4" w:rsidRDefault="00E464E4" w:rsidP="00E464E4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</w:p>
    <w:p w14:paraId="7C5904B0" w14:textId="6F490369" w:rsidR="00E464E4" w:rsidRPr="00E464E4" w:rsidRDefault="00E464E4" w:rsidP="00E464E4">
      <w:pPr>
        <w:spacing w:before="120" w:after="120" w:line="240" w:lineRule="auto"/>
        <w:ind w:left="3402" w:right="120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cstheme="minorHAnsi"/>
          <w:color w:val="000000"/>
          <w:sz w:val="24"/>
          <w:szCs w:val="24"/>
        </w:rPr>
        <w:t>Altera, acresce e revoga dispositivos do Regulamento do Imposto sobre Operações Relativas à Circulação de Mercadorias e sobre Prestações de Serviços de Transporte Interestadual e Intermunicipal e de Comunicação - RICMS/RO, aprovado pelo Decreto n° 22.721, de 5 de abril de 2018.</w:t>
      </w:r>
    </w:p>
    <w:p w14:paraId="2DD4C970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574090AC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O VICE-GOVERNADOR, no exercício do cargo de GOVERNADOR DO ESTADO DE RONDÔNIA, no uso das atribuições que lhe confere o inciso V artigo 65 da Constituição do Estado,</w:t>
      </w:r>
    </w:p>
    <w:p w14:paraId="62FAFF28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521B9838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u w:val="single"/>
          <w:lang w:eastAsia="pt-BR"/>
          <w14:ligatures w14:val="none"/>
        </w:rPr>
        <w:t>D</w:t>
      </w: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E464E4">
        <w:rPr>
          <w:rFonts w:eastAsia="Times New Roman" w:cstheme="minorHAnsi"/>
          <w:color w:val="000000"/>
          <w:kern w:val="0"/>
          <w:sz w:val="24"/>
          <w:szCs w:val="24"/>
          <w:u w:val="single"/>
          <w:lang w:eastAsia="pt-BR"/>
          <w14:ligatures w14:val="none"/>
        </w:rPr>
        <w:t>E</w:t>
      </w: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E464E4">
        <w:rPr>
          <w:rFonts w:eastAsia="Times New Roman" w:cstheme="minorHAnsi"/>
          <w:color w:val="000000"/>
          <w:kern w:val="0"/>
          <w:sz w:val="24"/>
          <w:szCs w:val="24"/>
          <w:u w:val="single"/>
          <w:lang w:eastAsia="pt-BR"/>
          <w14:ligatures w14:val="none"/>
        </w:rPr>
        <w:t>C</w:t>
      </w: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E464E4">
        <w:rPr>
          <w:rFonts w:eastAsia="Times New Roman" w:cstheme="minorHAnsi"/>
          <w:color w:val="000000"/>
          <w:kern w:val="0"/>
          <w:sz w:val="24"/>
          <w:szCs w:val="24"/>
          <w:u w:val="single"/>
          <w:lang w:eastAsia="pt-BR"/>
          <w14:ligatures w14:val="none"/>
        </w:rPr>
        <w:t>R</w:t>
      </w: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E464E4">
        <w:rPr>
          <w:rFonts w:eastAsia="Times New Roman" w:cstheme="minorHAnsi"/>
          <w:color w:val="000000"/>
          <w:kern w:val="0"/>
          <w:sz w:val="24"/>
          <w:szCs w:val="24"/>
          <w:u w:val="single"/>
          <w:lang w:eastAsia="pt-BR"/>
          <w14:ligatures w14:val="none"/>
        </w:rPr>
        <w:t>E</w:t>
      </w: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E464E4">
        <w:rPr>
          <w:rFonts w:eastAsia="Times New Roman" w:cstheme="minorHAnsi"/>
          <w:color w:val="000000"/>
          <w:kern w:val="0"/>
          <w:sz w:val="24"/>
          <w:szCs w:val="24"/>
          <w:u w:val="single"/>
          <w:lang w:eastAsia="pt-BR"/>
          <w14:ligatures w14:val="none"/>
        </w:rPr>
        <w:t>T</w:t>
      </w: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E464E4">
        <w:rPr>
          <w:rFonts w:eastAsia="Times New Roman" w:cstheme="minorHAnsi"/>
          <w:color w:val="000000"/>
          <w:kern w:val="0"/>
          <w:sz w:val="24"/>
          <w:szCs w:val="24"/>
          <w:u w:val="single"/>
          <w:lang w:eastAsia="pt-BR"/>
          <w14:ligatures w14:val="none"/>
        </w:rPr>
        <w:t>A</w:t>
      </w: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:</w:t>
      </w:r>
    </w:p>
    <w:p w14:paraId="07AB6B66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5643CD5E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Art. 1°  Os dispositivos do Regulamento do Imposto sobre Operações Relativas à Circulação de Mercadorias e sobre Prestações de Serviços de Transporte Interestadual e Intermunicipal e de Comunicação - RICMS/RO, aprovado pelo Decreto n° 22.721, de 5 de abril de 2018, passam a vigorar com as seguintes alterações:</w:t>
      </w:r>
    </w:p>
    <w:p w14:paraId="022A7A86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32AB2552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 xml:space="preserve">I - </w:t>
      </w:r>
      <w:proofErr w:type="gramStart"/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o</w:t>
      </w:r>
      <w:proofErr w:type="gramEnd"/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 xml:space="preserve"> inciso XIX do art. 2°:</w:t>
      </w:r>
    </w:p>
    <w:p w14:paraId="6AC38EEF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6B4F56FD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“Art. 2°  .........................................................................................................</w:t>
      </w:r>
    </w:p>
    <w:p w14:paraId="5DC924E4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089917C6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........................................................................................................................</w:t>
      </w:r>
    </w:p>
    <w:p w14:paraId="7431AB58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30873373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XIX - nas operações e prestações destinadas a consumidor final ou tomador de serviço não contribuintes do imposto:</w:t>
      </w:r>
    </w:p>
    <w:p w14:paraId="4DCD8C95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619706BF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a) da saída, de estabelecimento de contribuinte, de bem ou mercadoria destinados a consumidor final não contribuinte do imposto domiciliado ou estabelecido neste Estado; ou</w:t>
      </w:r>
    </w:p>
    <w:p w14:paraId="79EAA653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39FBAF4B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b) do início da prestação de serviço de transporte interestadual, nas prestações não vinculadas a operação ou prestação subsequente, cujo tomador não seja contribuinte do imposto domiciliado ou estabelecido no Estado de destino.</w:t>
      </w:r>
    </w:p>
    <w:p w14:paraId="0780B4E1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6FA7CD0A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........................................................................................................................” (NR)</w:t>
      </w:r>
    </w:p>
    <w:p w14:paraId="1371E668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13A0DB4E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 xml:space="preserve">II - </w:t>
      </w:r>
      <w:proofErr w:type="gramStart"/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o</w:t>
      </w:r>
      <w:proofErr w:type="gramEnd"/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 xml:space="preserve"> inciso X do art. 15:</w:t>
      </w:r>
    </w:p>
    <w:p w14:paraId="1D0A09AB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25219FCB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“Art. 15.  ........................................................................................................</w:t>
      </w:r>
    </w:p>
    <w:p w14:paraId="15FBEAD7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lastRenderedPageBreak/>
        <w:t> </w:t>
      </w:r>
    </w:p>
    <w:p w14:paraId="7C6D0781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........................................................................................................................</w:t>
      </w:r>
    </w:p>
    <w:p w14:paraId="7DC5D20D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29183609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 xml:space="preserve">X - </w:t>
      </w:r>
      <w:proofErr w:type="gramStart"/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na</w:t>
      </w:r>
      <w:proofErr w:type="gramEnd"/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 xml:space="preserve"> hipótese do inciso XIX do art. 2°, o valor da operação ou o preço do serviço, para o cálculo do imposto devido ao Estado de origem e ao de destino;</w:t>
      </w:r>
    </w:p>
    <w:p w14:paraId="20DDADBF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735F2DE2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........................................................................................................................” (NR)</w:t>
      </w:r>
    </w:p>
    <w:p w14:paraId="25702B78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5B405184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III - o </w:t>
      </w:r>
      <w:r w:rsidRPr="00E464E4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caput</w:t>
      </w: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do art. 16:</w:t>
      </w:r>
    </w:p>
    <w:p w14:paraId="4D841443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5F0A29FA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“Art. 16.  Nas hipóteses do inciso II do § 2° do art. 15, das alíneas “b” e “e” do inciso XII e do inciso XIX, ambos do art. 2°, o imposto a pagar a este Estado será o valor correspondente à diferença entre a alíquota interna e a interestadual.</w:t>
      </w:r>
    </w:p>
    <w:p w14:paraId="23F93B48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2B63FC5E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........................................................................................................................” (NR)</w:t>
      </w:r>
    </w:p>
    <w:p w14:paraId="35D5795E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599DCF1B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 xml:space="preserve">IV - </w:t>
      </w:r>
      <w:proofErr w:type="gramStart"/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o</w:t>
      </w:r>
      <w:proofErr w:type="gramEnd"/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E464E4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caput</w:t>
      </w: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do art. 17:</w:t>
      </w:r>
    </w:p>
    <w:p w14:paraId="161F3559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464E5872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“Art. 17.  Integra a base de cálculo do imposto, inclusive nas hipóteses dos incisos V e X e do § 2° do art. 15: (Lei 688/96, art. 18, § 1°)</w:t>
      </w:r>
    </w:p>
    <w:p w14:paraId="46A3E155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18086481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........................................................................................................................” (NR)</w:t>
      </w:r>
    </w:p>
    <w:p w14:paraId="15046E8D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6611C7D9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 xml:space="preserve">V - </w:t>
      </w:r>
      <w:proofErr w:type="gramStart"/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o</w:t>
      </w:r>
      <w:proofErr w:type="gramEnd"/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 xml:space="preserve"> art. 269, o inciso I e o </w:t>
      </w:r>
      <w:r w:rsidRPr="00E464E4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caput</w:t>
      </w: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 xml:space="preserve"> do art. 270, os </w:t>
      </w:r>
      <w:proofErr w:type="spellStart"/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arts</w:t>
      </w:r>
      <w:proofErr w:type="spellEnd"/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. 271 e 272, o § 1° e o </w:t>
      </w:r>
      <w:r w:rsidRPr="00E464E4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caput</w:t>
      </w: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 xml:space="preserve"> do art. 273, e os </w:t>
      </w:r>
      <w:proofErr w:type="spellStart"/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arts</w:t>
      </w:r>
      <w:proofErr w:type="spellEnd"/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. 274, 275, 276, 277, 279, todos do Capítulo XXI da Parte 4 do Anexo X:</w:t>
      </w:r>
    </w:p>
    <w:p w14:paraId="532CCB9D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788C2292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“Art. 269.  Nas operações e prestações que destinem mercadorias, bens e serviços a consumidor final não contribuinte do ICMS, localizado em outra unidade federada, devem ser observadas as disposições previstas neste Capítulo. (Convênio ICMS 236/21, cláusula primeira)</w:t>
      </w:r>
    </w:p>
    <w:p w14:paraId="33172164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1968D7F7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Art. 270.  Nas operações e prestações de que trata esta Seção, o contribuinte que as realizar deve: (Convênio ICMS 236/21, cláusula segunda)</w:t>
      </w:r>
    </w:p>
    <w:p w14:paraId="6631E204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22B891A4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 xml:space="preserve">I - </w:t>
      </w:r>
      <w:proofErr w:type="gramStart"/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se</w:t>
      </w:r>
      <w:proofErr w:type="gramEnd"/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 xml:space="preserve"> remetente da mercadoria ou do bem:</w:t>
      </w:r>
    </w:p>
    <w:p w14:paraId="1DB8006B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36F4D96B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........................................................................................................................</w:t>
      </w:r>
    </w:p>
    <w:p w14:paraId="6A45C1D3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1129A155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Art. 271.  O crédito relativo às operações e prestações anteriores deve ser deduzido do débito do imposto devido à unidade federada de origem, observado o disposto no art. 40-A do Regulamento. (Convênio ICMS 236/21, cláusula terceira)</w:t>
      </w:r>
    </w:p>
    <w:p w14:paraId="051F0004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11504D88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Art. 272.  As operações e prestações de que tratam esta Seção devem ser acobertadas por documentos fiscais eletrônicos, conforme o Anexo XIII deste Regulamento. (Convênio ICMS 236/21, cláusula quarta)</w:t>
      </w:r>
    </w:p>
    <w:p w14:paraId="50BB1719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3471F8DE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Art. 273.  O recolhimento do imposto a que se refere a alínea “c” dos incisos I e II do art. 270 deve ser efetuado por meio da GNRE ou DARE, por ocasião da saída da mercadoria ou do bem ou do início da prestação de serviço, em relação a cada operação ou prestação. (Convênio ICMS 236/21, cláusula quinta)</w:t>
      </w:r>
    </w:p>
    <w:p w14:paraId="13652DE0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2B9D99F5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§ 1</w:t>
      </w:r>
      <w:proofErr w:type="gramStart"/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°  O</w:t>
      </w:r>
      <w:proofErr w:type="gramEnd"/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 xml:space="preserve"> documento de arrecadação deve mencionar o número do respectivo documento fiscal e acompanhar o trânsito da mercadoria ou do bem ou a prestação.</w:t>
      </w:r>
    </w:p>
    <w:p w14:paraId="58280C97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1377ECBA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........................................................................................................................</w:t>
      </w:r>
    </w:p>
    <w:p w14:paraId="7AC15650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lastRenderedPageBreak/>
        <w:t> </w:t>
      </w:r>
    </w:p>
    <w:p w14:paraId="6619247C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Art. 274.  A critério da CRE e conforme dispuser ato do Coordenador-Geral da Receita Estadual, pode ser exigida ou concedida inscrição no CAD/ICMS-RO ao contribuinte localizado na unidade federada de origem. (Convênio ICMS 236/21, cláusula sexta)</w:t>
      </w:r>
    </w:p>
    <w:p w14:paraId="6D9998C3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38866A60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........................................................................................................................</w:t>
      </w:r>
    </w:p>
    <w:p w14:paraId="17ABB055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30985CFC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Art. 275.  O contribuinte do imposto de que trata a alínea “c” dos incisos I e II do art. 270, situado na unidade federada de origem, deve observar a legislação rondoniense. (Convênio ICMS 236/21, cláusula sétima)</w:t>
      </w:r>
    </w:p>
    <w:p w14:paraId="6033FA8C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451FC63E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........................................................................................................................</w:t>
      </w:r>
    </w:p>
    <w:p w14:paraId="6F051C40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3219BA63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 xml:space="preserve">Art. 276.  A fiscalização do estabelecimento contribuinte situado na unidade federada de origem pode ser exercida, conjunta ou isoladamente, pelas unidades federadas envolvidas nas operações ou prestações, condicionando-se o Fisco da unidade federada de destino </w:t>
      </w:r>
      <w:proofErr w:type="spellStart"/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a</w:t>
      </w:r>
      <w:proofErr w:type="spellEnd"/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 xml:space="preserve"> credenciamento prévio na Secretaria da Fazenda, Economia, Finanças, Tributação ou Receita da unidade federada do estabelecimento a ser fiscalizado. (Convênio ICMS 236/21, cláusula oitava)</w:t>
      </w:r>
    </w:p>
    <w:p w14:paraId="20103A9D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29A559ED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........................................................................................................................</w:t>
      </w:r>
    </w:p>
    <w:p w14:paraId="4777981D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52136128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Art. 277.  A escrituração das operações e prestações de serviço de que trata esta Seção, bem como o cumprimento das respectivas obrigações acessórias, devem ser disciplinadas em Ajuste SINIEF. (Convênio ICMS 236/21, cláusula nona)</w:t>
      </w:r>
    </w:p>
    <w:p w14:paraId="4C832674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5E6711B2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........................................................................................................................</w:t>
      </w:r>
    </w:p>
    <w:p w14:paraId="331EC689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3EB34CB0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Art. 279.  Os benefícios fiscais da redução da base de cálculo ou de isenção do ICMS, autorizados por meio de convênios ICMS com base na Lei Complementar n° 24, de 7 de janeiro de 1975, ou na Lei Complementar n° 160, de 7 de agosto de 2017, implementados nas respectivas unidades federadas de origem ou de destino, serão considerados no cálculo do valor do ICMS devido, correspondente à diferença entre a alíquota interestadual e a alíquota interna da unidade federada de destino da localização do consumidor final não contribuinte do ICMS. (Convênio ICMS 236/21, cláusula segunda, § 5°)” (NR)  </w:t>
      </w:r>
    </w:p>
    <w:p w14:paraId="7F91CA62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170E18A0" w14:textId="1CECA2E8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Art. 2° Acresce dispositivos ao RICMS/RO, aprovado pelo Decreto n° 22.721, de 2018, com a seguinte redação:</w:t>
      </w:r>
    </w:p>
    <w:p w14:paraId="12D371E4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54C50168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 xml:space="preserve">I - </w:t>
      </w:r>
      <w:proofErr w:type="gramStart"/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o</w:t>
      </w:r>
      <w:proofErr w:type="gramEnd"/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 xml:space="preserve"> § 2° ao art. 15, renumerando-se o parágrafo único para § 1°:</w:t>
      </w:r>
    </w:p>
    <w:p w14:paraId="24D3DADC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6E7FE8DC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“Art. 15.  ........................................................................................................</w:t>
      </w:r>
    </w:p>
    <w:p w14:paraId="3C152FF1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13DCF94F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........................................................................................................................</w:t>
      </w:r>
    </w:p>
    <w:p w14:paraId="1F550D7D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1CF33A52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§ 2</w:t>
      </w:r>
      <w:proofErr w:type="gramStart"/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°  Nas</w:t>
      </w:r>
      <w:proofErr w:type="gramEnd"/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 xml:space="preserve"> hipóteses das alíneas “b” e “c” do inciso VIII deste artigo, a base de cálculo corresponderá:</w:t>
      </w:r>
    </w:p>
    <w:p w14:paraId="3A112153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3E383635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 xml:space="preserve">I - </w:t>
      </w:r>
      <w:proofErr w:type="gramStart"/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ao</w:t>
      </w:r>
      <w:proofErr w:type="gramEnd"/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 xml:space="preserve"> valor da operação ou prestação no Estado de origem, para o cálculo do imposto devido a esse Estado;</w:t>
      </w:r>
    </w:p>
    <w:p w14:paraId="0D846CEB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2C5328CC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 xml:space="preserve">II - </w:t>
      </w:r>
      <w:proofErr w:type="gramStart"/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ao</w:t>
      </w:r>
      <w:proofErr w:type="gramEnd"/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 xml:space="preserve"> valor da operação ou prestação no Estado de destino, para o cálculo do imposto devido a esse Estado.” (NR)</w:t>
      </w:r>
    </w:p>
    <w:p w14:paraId="0D50E125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72DA0368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 xml:space="preserve">II - </w:t>
      </w:r>
      <w:proofErr w:type="gramStart"/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os</w:t>
      </w:r>
      <w:proofErr w:type="gramEnd"/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 xml:space="preserve"> §§ 2° e 3° ao art. 16, renumerando-se o parágrafo único para § 1°:</w:t>
      </w:r>
    </w:p>
    <w:p w14:paraId="30C1AB1D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lastRenderedPageBreak/>
        <w:t> </w:t>
      </w:r>
    </w:p>
    <w:p w14:paraId="10CE349B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“Art. 16.  ........................................................................................................</w:t>
      </w:r>
    </w:p>
    <w:p w14:paraId="51C4D335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06E77B3D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........................................................................................................................</w:t>
      </w:r>
    </w:p>
    <w:p w14:paraId="796F849C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463F5061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§ 2</w:t>
      </w:r>
      <w:proofErr w:type="gramStart"/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°  Utilizar</w:t>
      </w:r>
      <w:proofErr w:type="gramEnd"/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-se-á, para os efeitos do § 2° do art. 15:</w:t>
      </w:r>
    </w:p>
    <w:p w14:paraId="05FB6EE3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19D99F2F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 xml:space="preserve">I - </w:t>
      </w:r>
      <w:proofErr w:type="gramStart"/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a</w:t>
      </w:r>
      <w:proofErr w:type="gramEnd"/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 xml:space="preserve"> alíquota prevista para a operação ou prestação interestadual, para estabelecer a base de cálculo da operação ou prestação no Estado de origem;</w:t>
      </w:r>
    </w:p>
    <w:p w14:paraId="4CBC81B3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76C88FA2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 xml:space="preserve">II - </w:t>
      </w:r>
      <w:proofErr w:type="gramStart"/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a</w:t>
      </w:r>
      <w:proofErr w:type="gramEnd"/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 xml:space="preserve"> alíquota prevista para a operação ou prestação interna, para estabelecer a base de cálculo da operação ou prestação no Estado de destino.</w:t>
      </w:r>
    </w:p>
    <w:p w14:paraId="073B315E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04E18BD7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§ 3</w:t>
      </w:r>
      <w:proofErr w:type="gramStart"/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°  Utilizar</w:t>
      </w:r>
      <w:proofErr w:type="gramEnd"/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-se-á, para os efeitos do inciso XIX do art. 2°, a alíquota prevista para a operação ou prestação interna no Estado de destino para estabelecer a base de cálculo da operação ou prestação.” (NR)</w:t>
      </w:r>
    </w:p>
    <w:p w14:paraId="5BBE5C6B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30EC603F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III - o art. 40-A:</w:t>
      </w:r>
    </w:p>
    <w:p w14:paraId="77350F86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49A18230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“Art. 40-A.  Nas hipóteses do inciso XIX do art. 2°, o crédito relativo às operações e prestações anteriores deve ser deduzido apenas do débito correspondente ao imposto devido à unidade federada de origem.” (NR)</w:t>
      </w:r>
    </w:p>
    <w:p w14:paraId="540C44AD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75B3877F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 xml:space="preserve">IV - </w:t>
      </w:r>
      <w:proofErr w:type="gramStart"/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o</w:t>
      </w:r>
      <w:proofErr w:type="gramEnd"/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 xml:space="preserve"> inciso XV ao § 2° do art. 86:</w:t>
      </w:r>
    </w:p>
    <w:p w14:paraId="03620D80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63AC8C70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“Art. 86.  ........................................................................................................</w:t>
      </w:r>
    </w:p>
    <w:p w14:paraId="6D949394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77EE8E5F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........................................................................................................................</w:t>
      </w:r>
    </w:p>
    <w:p w14:paraId="15D8CB39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38F91529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§ 2</w:t>
      </w:r>
      <w:proofErr w:type="gramStart"/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°  ................................................................................................................</w:t>
      </w:r>
      <w:proofErr w:type="gramEnd"/>
    </w:p>
    <w:p w14:paraId="46AD9C5D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0D5466CB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........................................................................................................................</w:t>
      </w:r>
    </w:p>
    <w:p w14:paraId="79F82666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3FE62126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 xml:space="preserve">XV - </w:t>
      </w:r>
      <w:proofErr w:type="gramStart"/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nas</w:t>
      </w:r>
      <w:proofErr w:type="gramEnd"/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 xml:space="preserve"> operações ou prestações que destinem mercadorias, bens e serviços a consumidor final domiciliado ou estabelecido neste Estado, em relação à diferença entre a alíquota interna e a alíquota interestadual:</w:t>
      </w:r>
    </w:p>
    <w:p w14:paraId="7A927FA6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61380321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a) o destinatário da mercadoria, bem ou serviço, na hipótese de contribuinte do imposto;</w:t>
      </w:r>
    </w:p>
    <w:p w14:paraId="3CDD04B2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0609F63C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b) o remetente da mercadoria ou bem ou o prestador de serviço, na hipótese de o destinatário não ser contribuinte do imposto.</w:t>
      </w:r>
    </w:p>
    <w:p w14:paraId="47381FE8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4F2CE564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........................................................................................................................” (NR)</w:t>
      </w:r>
    </w:p>
    <w:p w14:paraId="08690C91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4113C4FB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 xml:space="preserve">V - </w:t>
      </w:r>
      <w:proofErr w:type="gramStart"/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o</w:t>
      </w:r>
      <w:proofErr w:type="gramEnd"/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 xml:space="preserve"> inciso V e os §§ 7° e 8° ao art. 104:</w:t>
      </w:r>
    </w:p>
    <w:p w14:paraId="2E78B4C4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67BB8609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“Art. 104.  ......................................................................................................</w:t>
      </w:r>
    </w:p>
    <w:p w14:paraId="20120860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6ED7FD13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........................................................................................................................</w:t>
      </w:r>
    </w:p>
    <w:p w14:paraId="6F14B690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08ACAB7A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 xml:space="preserve">V - </w:t>
      </w:r>
      <w:proofErr w:type="gramStart"/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tratando-se</w:t>
      </w:r>
      <w:proofErr w:type="gramEnd"/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 xml:space="preserve"> de operações ou prestações interestaduais destinadas a consumidor final, em relação à diferença entre a alíquota interna do Estado de destino e a alíquota interestadual:</w:t>
      </w:r>
    </w:p>
    <w:p w14:paraId="633B0FDB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6BDC28A9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lastRenderedPageBreak/>
        <w:t>a) o do estabelecimento do destinatário, quando o destinatário ou o tomador for contribuinte do imposto;</w:t>
      </w:r>
    </w:p>
    <w:p w14:paraId="7810CF01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37E2640E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b) o do estabelecimento do remetente ou onde tiver início a prestação, quando o destinatário ou tomador não for contribuinte do imposto.</w:t>
      </w:r>
    </w:p>
    <w:p w14:paraId="03254F52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4960B549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........................................................................................................................</w:t>
      </w:r>
    </w:p>
    <w:p w14:paraId="1E1789B7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080AF3F2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§ 7°  Na hipótese da alínea “b” do inciso V deste artigo, quando o destino final da mercadoria, bem ou serviço ocorrer em Estado diferente daquele em que estiver domiciliado ou estabelecido o adquirente ou o tomador, o imposto correspondente à diferença entre a alíquota interna e a interestadual será devido ao Estado no qual efetivamente ocorrer a entrada física da mercadoria ou bem ou o fim da prestação do serviço.</w:t>
      </w:r>
    </w:p>
    <w:p w14:paraId="273D42D0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7438EC5E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§ 8°  Na hipótese de serviço de transporte interestadual de passageiros cujo tomador não seja contribuinte do imposto:</w:t>
      </w:r>
    </w:p>
    <w:p w14:paraId="46D0C4F0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52200F84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I - o passageiro será considerado o consumidor final do serviço, e o fato gerador considerar-se-á ocorrido no Estado referido nas alíneas “a” ou “b” do inciso II deste artigo, conforme o caso, não se aplicando o disposto no inciso V e no § 7° deste artigo; e</w:t>
      </w:r>
    </w:p>
    <w:p w14:paraId="33001D1C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26699311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II - o destinatário do serviço considerar-se-á localizado no Estado da ocorrência do fato gerador, e a prestação ficará sujeita à tributação pela sua alíquota interna.” (NR)</w:t>
      </w:r>
    </w:p>
    <w:p w14:paraId="3B3BA920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7AD40212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VI - os §§ 1° ao 3° ao art. 269, o § 4° ao art. 273 e o art. 278-A, todos à Seção I do Capítulo XXI da Parte 4 do Anexo X:</w:t>
      </w:r>
    </w:p>
    <w:p w14:paraId="32605763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35054BB4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“Art. 269.  ......................................................................................................</w:t>
      </w:r>
    </w:p>
    <w:p w14:paraId="273610F5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6035554D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§ 1°  O remetente da mercadoria ou do bem ou o prestador de serviço, na hipótese de o destinatário não ser contribuinte do imposto, é contribuinte em relação ao imposto correspondente à diferença entre as alíquotas interna da unidade federada de destino e interestadual - DIFAL, nas operações ou prestações que destinem mercadorias, bens e serviços a consumidor final domiciliado ou estabelecido em outra unidade federada.</w:t>
      </w:r>
    </w:p>
    <w:p w14:paraId="7916640E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6B095B4E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§ 2°  O local da operação ou da prestação, para os efeitos da cobrança da DIFAL e definição do estabelecimento responsável, é o do estabelecimento do remetente ou onde tiver início a prestação, quando o destinatário ou tomador, em operação ou prestação interestadual, não for contribuinte do imposto.</w:t>
      </w:r>
    </w:p>
    <w:p w14:paraId="6100A0AB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70209829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§ 3°  Na hipótese de prestação de serviço de transporte interestadual de passageiros cujo tomador não seja contribuinte do imposto:</w:t>
      </w:r>
    </w:p>
    <w:p w14:paraId="2D7A4725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47081FCC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I - o passageiro será considerado o consumidor final de serviço, e o fato gerador considerar-se-á ocorrido na unidade federada onde tenha início a prestação ou onde se encontre o transportador, quando em situação irregular pela falta de documentação fiscal ou quando acompanhada de documentação inidônea, como dispuser a legislação tributária, conforme o caso, não se aplicando o disposto no § 2° deste artigo;</w:t>
      </w:r>
    </w:p>
    <w:p w14:paraId="1DB8A848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501C9D75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II - o destinatário da prestação de serviço considerar-se-á localizado na unidade federada da ocorrência do fato gerador, ficando a prestação sujeita à tributação pela sua alíquota interna.</w:t>
      </w:r>
    </w:p>
    <w:p w14:paraId="74D18065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24379C4D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........................................................................................................................</w:t>
      </w:r>
    </w:p>
    <w:p w14:paraId="04740853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726FFD2A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lastRenderedPageBreak/>
        <w:t>Art. 273.  ........................................................................................................</w:t>
      </w:r>
    </w:p>
    <w:p w14:paraId="4D502A1F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176CB677" w14:textId="5CD11958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......</w:t>
      </w: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..................................................................................................................</w:t>
      </w:r>
    </w:p>
    <w:p w14:paraId="40A0A67B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6E1F9FD0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§ 4°  Caso as informações relativas à data de saída ou de início da prestação de serviço não sejam informadas nos documentos fiscais eletrônicos, será considerada a data de emissão do documento fiscal como data de saída ou de início da prestação.</w:t>
      </w:r>
    </w:p>
    <w:p w14:paraId="4E42D451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74D7F4AD" w14:textId="7239F2AA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.....</w:t>
      </w:r>
      <w:r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......</w:t>
      </w: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.............................................................................................................</w:t>
      </w:r>
    </w:p>
    <w:p w14:paraId="1BD2751B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73E341C8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Art. 278-A.  As informações necessárias ao cumprimento das obrigações tributárias, principais e acessórias, nas operações e prestações interestaduais, previstas nesta Seção, serão divulgadas pelo Portal Nacional da DIFAL, instituído pelo Convênio ICMS 235/21, de 27 dezembro de 2021, disponibilizado em endereço eletrônico mantido pela Sefaz Virtual do Rio Grande do Sul - SVRS (difal.svrs.rs.gov.br). (Lei 688/96, art. 44-A)” (NR)</w:t>
      </w:r>
    </w:p>
    <w:p w14:paraId="705F7F9A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1AAF3128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Art. 3</w:t>
      </w:r>
      <w:proofErr w:type="gramStart"/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°  Ficam</w:t>
      </w:r>
      <w:proofErr w:type="gramEnd"/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 xml:space="preserve"> revogados os dispositivos adiante enumerados do RICMS/RO, aprovado pelo Decreto n° 22.721, de 2018:</w:t>
      </w:r>
    </w:p>
    <w:p w14:paraId="4DFD88E6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1279B055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 xml:space="preserve">I - </w:t>
      </w:r>
      <w:proofErr w:type="gramStart"/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a</w:t>
      </w:r>
      <w:proofErr w:type="gramEnd"/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 xml:space="preserve"> alínea “c” do inciso II do art. 104; e</w:t>
      </w:r>
    </w:p>
    <w:p w14:paraId="616E5903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6159A167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 xml:space="preserve">II - </w:t>
      </w:r>
      <w:proofErr w:type="gramStart"/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o</w:t>
      </w:r>
      <w:proofErr w:type="gramEnd"/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 xml:space="preserve"> § 2° do art. 270 e o art. 278 do Capítulo XXI da Parte 4 do Anexo X.</w:t>
      </w:r>
    </w:p>
    <w:p w14:paraId="4691DA0A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64668181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Art. 4</w:t>
      </w:r>
      <w:proofErr w:type="gramStart"/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°  Este</w:t>
      </w:r>
      <w:proofErr w:type="gramEnd"/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 xml:space="preserve"> Decreto entra em vigor na data de sua publicação, produzindo efeitos a contar de 1° de abril de 2022.</w:t>
      </w:r>
    </w:p>
    <w:p w14:paraId="4B8323D4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0102606C" w14:textId="77777777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Palácio do Governo do Estado de Rondônia, em 9 de fevereiro de 2023, 135° da República.</w:t>
      </w:r>
    </w:p>
    <w:p w14:paraId="6C39F768" w14:textId="3C21215C" w:rsidR="00E464E4" w:rsidRPr="00E464E4" w:rsidRDefault="00E464E4" w:rsidP="00E464E4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 </w:t>
      </w:r>
    </w:p>
    <w:p w14:paraId="7B3EA191" w14:textId="77777777" w:rsidR="00724769" w:rsidRDefault="00724769" w:rsidP="00E464E4">
      <w:pPr>
        <w:spacing w:after="0" w:line="240" w:lineRule="auto"/>
        <w:ind w:left="60" w:right="60"/>
        <w:jc w:val="center"/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</w:pPr>
    </w:p>
    <w:p w14:paraId="06D538EF" w14:textId="05B13B5A" w:rsidR="00E464E4" w:rsidRPr="00E464E4" w:rsidRDefault="00E464E4" w:rsidP="00E464E4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SÉRGIO GONÇALVES DA SILVA</w:t>
      </w:r>
    </w:p>
    <w:p w14:paraId="3CF5EEE2" w14:textId="77777777" w:rsidR="00E464E4" w:rsidRPr="00E464E4" w:rsidRDefault="00E464E4" w:rsidP="00E464E4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Governador em exercício</w:t>
      </w:r>
    </w:p>
    <w:p w14:paraId="41DA2792" w14:textId="77777777" w:rsidR="00E464E4" w:rsidRPr="00E464E4" w:rsidRDefault="00E464E4" w:rsidP="00E464E4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692CF337" w14:textId="77777777" w:rsidR="00E464E4" w:rsidRPr="00E464E4" w:rsidRDefault="00E464E4" w:rsidP="00E464E4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E464E4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LUÍS FERNANDO PEREIRA DA SILVA</w:t>
      </w:r>
    </w:p>
    <w:p w14:paraId="1FB21A57" w14:textId="16D9C9D8" w:rsidR="00724769" w:rsidRPr="00724769" w:rsidRDefault="00E464E4" w:rsidP="00724769">
      <w:pPr>
        <w:spacing w:after="0" w:line="240" w:lineRule="auto"/>
        <w:ind w:left="60" w:right="60"/>
        <w:jc w:val="center"/>
        <w:rPr>
          <w:color w:val="000000"/>
          <w:sz w:val="20"/>
          <w:szCs w:val="20"/>
        </w:rPr>
      </w:pPr>
      <w:r w:rsidRPr="00E464E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Secretário de Estado de Finanças</w:t>
      </w:r>
      <w:r w:rsidR="00724769" w:rsidRPr="00724769">
        <w:rPr>
          <w:color w:val="000000"/>
          <w:sz w:val="20"/>
          <w:szCs w:val="20"/>
        </w:rPr>
        <w:t> </w:t>
      </w:r>
    </w:p>
    <w:p w14:paraId="0EA930A8" w14:textId="16D9C9D8" w:rsidR="00724769" w:rsidRPr="00724769" w:rsidRDefault="00087D79" w:rsidP="00724769">
      <w:pPr>
        <w:spacing w:after="6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pict w14:anchorId="0A2C53ED">
          <v:rect id="_x0000_i1025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10"/>
        <w:gridCol w:w="9452"/>
      </w:tblGrid>
      <w:tr w:rsidR="00724769" w:rsidRPr="00724769" w14:paraId="5BD52344" w14:textId="77777777" w:rsidTr="00724769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BBC6797" w14:textId="32DCF603" w:rsidR="00724769" w:rsidRPr="00724769" w:rsidRDefault="00724769">
            <w:pPr>
              <w:spacing w:after="0"/>
              <w:rPr>
                <w:sz w:val="20"/>
                <w:szCs w:val="20"/>
              </w:rPr>
            </w:pPr>
            <w:r w:rsidRPr="00724769">
              <w:rPr>
                <w:rFonts w:cstheme="minorHAnsi"/>
                <w:noProof/>
                <w:color w:val="000000"/>
                <w:sz w:val="20"/>
                <w:szCs w:val="20"/>
              </w:rPr>
              <w:drawing>
                <wp:inline distT="0" distB="0" distL="0" distR="0" wp14:anchorId="619C623E" wp14:editId="0E7ED5CE">
                  <wp:extent cx="847725" cy="571500"/>
                  <wp:effectExtent l="0" t="0" r="0" b="0"/>
                  <wp:docPr id="6" name="Imagem 6" descr="Interface gráfica do usuário&#10;&#10;Descrição gerad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m 6" descr="Interface gráfica do usuário&#10;&#10;Descrição gerada automaticament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55DEB511" w14:textId="77777777" w:rsidR="00724769" w:rsidRPr="00724769" w:rsidRDefault="00724769">
            <w:pPr>
              <w:pStyle w:val="NormalWeb"/>
              <w:spacing w:before="0" w:beforeAutospacing="0" w:after="0" w:afterAutospacing="0"/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724769">
              <w:rPr>
                <w:rFonts w:ascii="Calibri" w:hAnsi="Calibri" w:cs="Calibri"/>
                <w:sz w:val="20"/>
                <w:szCs w:val="20"/>
              </w:rPr>
              <w:t>Documento assinado eletronicamente por </w:t>
            </w:r>
            <w:proofErr w:type="spellStart"/>
            <w:r w:rsidRPr="00724769">
              <w:rPr>
                <w:rFonts w:ascii="Calibri" w:hAnsi="Calibri" w:cs="Calibri"/>
                <w:b/>
                <w:bCs/>
                <w:sz w:val="20"/>
                <w:szCs w:val="20"/>
              </w:rPr>
              <w:t>Luis</w:t>
            </w:r>
            <w:proofErr w:type="spellEnd"/>
            <w:r w:rsidRPr="00724769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Fernando Pereira da Silva</w:t>
            </w:r>
            <w:r w:rsidRPr="00724769">
              <w:rPr>
                <w:rFonts w:ascii="Calibri" w:hAnsi="Calibri" w:cs="Calibri"/>
                <w:sz w:val="20"/>
                <w:szCs w:val="20"/>
              </w:rPr>
              <w:t>, </w:t>
            </w:r>
            <w:r w:rsidRPr="00724769">
              <w:rPr>
                <w:rFonts w:ascii="Calibri" w:hAnsi="Calibri" w:cs="Calibri"/>
                <w:b/>
                <w:bCs/>
                <w:sz w:val="20"/>
                <w:szCs w:val="20"/>
              </w:rPr>
              <w:t>Secretário(a)</w:t>
            </w:r>
            <w:r w:rsidRPr="00724769">
              <w:rPr>
                <w:rFonts w:ascii="Calibri" w:hAnsi="Calibri" w:cs="Calibri"/>
                <w:sz w:val="20"/>
                <w:szCs w:val="20"/>
              </w:rPr>
              <w:t>, em 09/02/2023, às 14:45, conforme horário oficial de Brasília, com fundamento no artigo 18 caput e seus §§ 1º e 2º, do </w:t>
            </w:r>
            <w:hyperlink r:id="rId7" w:tgtFrame="_blank" w:tooltip="Acesse o Decreto" w:history="1">
              <w:r w:rsidRPr="00724769">
                <w:rPr>
                  <w:rStyle w:val="Hyperlink"/>
                  <w:rFonts w:ascii="Calibri" w:hAnsi="Calibri" w:cs="Calibri"/>
                  <w:sz w:val="20"/>
                  <w:szCs w:val="20"/>
                </w:rPr>
                <w:t>Decreto nº 21.794, de 5 Abril de 2017.</w:t>
              </w:r>
            </w:hyperlink>
          </w:p>
        </w:tc>
      </w:tr>
    </w:tbl>
    <w:p w14:paraId="1AB6DC98" w14:textId="77777777" w:rsidR="00724769" w:rsidRPr="00724769" w:rsidRDefault="00087D79" w:rsidP="00724769">
      <w:pPr>
        <w:spacing w:after="60"/>
        <w:rPr>
          <w:rFonts w:ascii="Times New Roman" w:hAnsi="Times New Roman" w:cs="Times New Roman"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pict w14:anchorId="4771D8BD">
          <v:rect id="_x0000_i1026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10"/>
        <w:gridCol w:w="9452"/>
      </w:tblGrid>
      <w:tr w:rsidR="00724769" w:rsidRPr="00724769" w14:paraId="5321B4AA" w14:textId="77777777" w:rsidTr="00724769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439747A" w14:textId="65210485" w:rsidR="00724769" w:rsidRPr="00724769" w:rsidRDefault="00724769">
            <w:pPr>
              <w:spacing w:after="0"/>
              <w:rPr>
                <w:sz w:val="20"/>
                <w:szCs w:val="20"/>
              </w:rPr>
            </w:pPr>
            <w:r w:rsidRPr="00724769">
              <w:rPr>
                <w:rFonts w:cstheme="minorHAnsi"/>
                <w:noProof/>
                <w:color w:val="000000"/>
                <w:sz w:val="20"/>
                <w:szCs w:val="20"/>
              </w:rPr>
              <w:drawing>
                <wp:inline distT="0" distB="0" distL="0" distR="0" wp14:anchorId="759499EE" wp14:editId="78A17561">
                  <wp:extent cx="847725" cy="571500"/>
                  <wp:effectExtent l="0" t="0" r="0" b="0"/>
                  <wp:docPr id="5" name="Imagem 5" descr="Interface gráfica do usuário&#10;&#10;Descrição gerad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Imagem 5" descr="Interface gráfica do usuário&#10;&#10;Descrição gerada automaticament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5B36748A" w14:textId="77777777" w:rsidR="00724769" w:rsidRPr="00724769" w:rsidRDefault="00724769">
            <w:pPr>
              <w:pStyle w:val="NormalWeb"/>
              <w:spacing w:before="0" w:beforeAutospacing="0" w:after="0" w:afterAutospacing="0"/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724769">
              <w:rPr>
                <w:rFonts w:ascii="Calibri" w:hAnsi="Calibri" w:cs="Calibri"/>
                <w:sz w:val="20"/>
                <w:szCs w:val="20"/>
              </w:rPr>
              <w:t>Documento assinado eletronicamente por </w:t>
            </w:r>
            <w:r w:rsidRPr="00724769">
              <w:rPr>
                <w:rFonts w:ascii="Calibri" w:hAnsi="Calibri" w:cs="Calibri"/>
                <w:b/>
                <w:bCs/>
                <w:sz w:val="20"/>
                <w:szCs w:val="20"/>
              </w:rPr>
              <w:t>Sérgio Gonçalves da Silva</w:t>
            </w:r>
            <w:r w:rsidRPr="00724769">
              <w:rPr>
                <w:rFonts w:ascii="Calibri" w:hAnsi="Calibri" w:cs="Calibri"/>
                <w:sz w:val="20"/>
                <w:szCs w:val="20"/>
              </w:rPr>
              <w:t>, </w:t>
            </w:r>
            <w:r w:rsidRPr="00724769">
              <w:rPr>
                <w:rFonts w:ascii="Calibri" w:hAnsi="Calibri" w:cs="Calibri"/>
                <w:b/>
                <w:bCs/>
                <w:sz w:val="20"/>
                <w:szCs w:val="20"/>
              </w:rPr>
              <w:t>Vice Governador</w:t>
            </w:r>
            <w:r w:rsidRPr="00724769">
              <w:rPr>
                <w:rFonts w:ascii="Calibri" w:hAnsi="Calibri" w:cs="Calibri"/>
                <w:sz w:val="20"/>
                <w:szCs w:val="20"/>
              </w:rPr>
              <w:t>, em 13/02/2023, às 13:38, conforme horário oficial de Brasília, com fundamento no artigo 18 caput e seus §§ 1º e 2º, do </w:t>
            </w:r>
            <w:hyperlink r:id="rId8" w:tgtFrame="_blank" w:tooltip="Acesse o Decreto" w:history="1">
              <w:r w:rsidRPr="00724769">
                <w:rPr>
                  <w:rStyle w:val="Hyperlink"/>
                  <w:rFonts w:ascii="Calibri" w:hAnsi="Calibri" w:cs="Calibri"/>
                  <w:sz w:val="20"/>
                  <w:szCs w:val="20"/>
                </w:rPr>
                <w:t>Decreto nº 21.794, de 5 Abril de 2017.</w:t>
              </w:r>
            </w:hyperlink>
          </w:p>
        </w:tc>
      </w:tr>
    </w:tbl>
    <w:p w14:paraId="4F1CB220" w14:textId="77777777" w:rsidR="00724769" w:rsidRPr="00724769" w:rsidRDefault="00087D79" w:rsidP="00724769">
      <w:pPr>
        <w:spacing w:after="60"/>
        <w:rPr>
          <w:rFonts w:ascii="Times New Roman" w:hAnsi="Times New Roman" w:cs="Times New Roman"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pict w14:anchorId="60E24668">
          <v:rect id="_x0000_i1027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65"/>
        <w:gridCol w:w="9497"/>
      </w:tblGrid>
      <w:tr w:rsidR="00724769" w:rsidRPr="00724769" w14:paraId="5F847AC9" w14:textId="77777777" w:rsidTr="00724769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AEA63B2" w14:textId="1161DE33" w:rsidR="00724769" w:rsidRPr="00724769" w:rsidRDefault="00724769">
            <w:pPr>
              <w:spacing w:after="0"/>
              <w:rPr>
                <w:sz w:val="20"/>
                <w:szCs w:val="20"/>
              </w:rPr>
            </w:pPr>
            <w:r w:rsidRPr="00724769">
              <w:rPr>
                <w:rFonts w:cstheme="minorHAnsi"/>
                <w:noProof/>
                <w:color w:val="000000"/>
                <w:sz w:val="20"/>
                <w:szCs w:val="20"/>
              </w:rPr>
              <w:drawing>
                <wp:inline distT="0" distB="0" distL="0" distR="0" wp14:anchorId="63B3E2DD" wp14:editId="774AF33A">
                  <wp:extent cx="819150" cy="819150"/>
                  <wp:effectExtent l="0" t="0" r="0" b="0"/>
                  <wp:docPr id="4" name="Imagem 4" descr="Código QR&#10;&#10;Descrição gerad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agem 4" descr="Código QR&#10;&#10;Descrição gerada automaticament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9150" cy="819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2CFF76FC" w14:textId="77777777" w:rsidR="00724769" w:rsidRPr="00724769" w:rsidRDefault="00724769">
            <w:pPr>
              <w:pStyle w:val="NormalWeb"/>
              <w:spacing w:before="0" w:beforeAutospacing="0" w:after="0" w:afterAutospacing="0"/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724769">
              <w:rPr>
                <w:rFonts w:ascii="Calibri" w:hAnsi="Calibri" w:cs="Calibri"/>
                <w:sz w:val="20"/>
                <w:szCs w:val="20"/>
              </w:rPr>
              <w:t>A autenticidade deste documento pode ser conferida no site </w:t>
            </w:r>
            <w:hyperlink r:id="rId10" w:tgtFrame="_blank" w:tooltip="Página de Autenticidade de Documentos" w:history="1">
              <w:r w:rsidRPr="00724769">
                <w:rPr>
                  <w:rStyle w:val="Hyperlink"/>
                  <w:rFonts w:ascii="Calibri" w:hAnsi="Calibri" w:cs="Calibri"/>
                  <w:sz w:val="20"/>
                  <w:szCs w:val="20"/>
                </w:rPr>
                <w:t>portal do SEI</w:t>
              </w:r>
            </w:hyperlink>
            <w:r w:rsidRPr="00724769">
              <w:rPr>
                <w:rFonts w:ascii="Calibri" w:hAnsi="Calibri" w:cs="Calibri"/>
                <w:sz w:val="20"/>
                <w:szCs w:val="20"/>
              </w:rPr>
              <w:t>, informando o código verificador </w:t>
            </w:r>
            <w:r w:rsidRPr="00724769">
              <w:rPr>
                <w:rFonts w:ascii="Calibri" w:hAnsi="Calibri" w:cs="Calibri"/>
                <w:b/>
                <w:bCs/>
                <w:sz w:val="20"/>
                <w:szCs w:val="20"/>
              </w:rPr>
              <w:t>0035744501</w:t>
            </w:r>
            <w:r w:rsidRPr="00724769">
              <w:rPr>
                <w:rFonts w:ascii="Calibri" w:hAnsi="Calibri" w:cs="Calibri"/>
                <w:sz w:val="20"/>
                <w:szCs w:val="20"/>
              </w:rPr>
              <w:t> e o código CRC </w:t>
            </w:r>
            <w:r w:rsidRPr="00724769">
              <w:rPr>
                <w:rFonts w:ascii="Calibri" w:hAnsi="Calibri" w:cs="Calibri"/>
                <w:b/>
                <w:bCs/>
                <w:sz w:val="20"/>
                <w:szCs w:val="20"/>
              </w:rPr>
              <w:t>F5E473DE</w:t>
            </w:r>
            <w:r w:rsidRPr="00724769">
              <w:rPr>
                <w:rFonts w:ascii="Calibri" w:hAnsi="Calibri" w:cs="Calibri"/>
                <w:sz w:val="20"/>
                <w:szCs w:val="20"/>
              </w:rPr>
              <w:t>.</w:t>
            </w:r>
          </w:p>
        </w:tc>
      </w:tr>
    </w:tbl>
    <w:p w14:paraId="786757AB" w14:textId="77777777" w:rsidR="00724769" w:rsidRPr="00724769" w:rsidRDefault="00087D79" w:rsidP="00724769">
      <w:pPr>
        <w:spacing w:before="15" w:after="15"/>
        <w:rPr>
          <w:rFonts w:ascii="Times New Roman" w:hAnsi="Times New Roman" w:cs="Times New Roman"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pict w14:anchorId="07132562">
          <v:rect id="_x0000_i1028" style="width:0;height:1.5pt" o:hralign="center" o:hrstd="t" o:hr="t" fillcolor="#a0a0a0" stroked="f"/>
        </w:pict>
      </w:r>
    </w:p>
    <w:sectPr w:rsidR="00724769" w:rsidRPr="00724769" w:rsidSect="00E464E4">
      <w:pgSz w:w="11906" w:h="16838"/>
      <w:pgMar w:top="567" w:right="567" w:bottom="567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54219F7"/>
    <w:multiLevelType w:val="hybridMultilevel"/>
    <w:tmpl w:val="E21A92D8"/>
    <w:lvl w:ilvl="0" w:tplc="32962D50">
      <w:numFmt w:val="bullet"/>
      <w:lvlText w:val=""/>
      <w:lvlJc w:val="left"/>
      <w:pPr>
        <w:ind w:left="420" w:hanging="360"/>
      </w:pPr>
      <w:rPr>
        <w:rFonts w:ascii="Symbol" w:eastAsia="Times New Roman" w:hAnsi="Symbol" w:cstheme="minorHAnsi" w:hint="default"/>
      </w:rPr>
    </w:lvl>
    <w:lvl w:ilvl="1" w:tplc="0416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num w:numId="1" w16cid:durableId="20783622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C3CD0"/>
    <w:rsid w:val="00087D79"/>
    <w:rsid w:val="000C3CD0"/>
    <w:rsid w:val="00134E2E"/>
    <w:rsid w:val="003D64B8"/>
    <w:rsid w:val="00724769"/>
    <w:rsid w:val="008A34D5"/>
    <w:rsid w:val="00933CA6"/>
    <w:rsid w:val="009F257B"/>
    <w:rsid w:val="00AB56C2"/>
    <w:rsid w:val="00B17553"/>
    <w:rsid w:val="00CE6FF9"/>
    <w:rsid w:val="00D273C2"/>
    <w:rsid w:val="00E464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</o:shapelayout>
  </w:shapeDefaults>
  <w:decimalSymbol w:val=","/>
  <w:listSeparator w:val=";"/>
  <w14:docId w14:val="69AEA47F"/>
  <w15:chartTrackingRefBased/>
  <w15:docId w15:val="{0315DFB5-11C4-4573-A8A9-43BEF33BE1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E464E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paragraph" w:customStyle="1" w:styleId="newcentralizartexto">
    <w:name w:val="new_centralizar_texto"/>
    <w:basedOn w:val="Normal"/>
    <w:rsid w:val="00E464E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paragraph" w:customStyle="1" w:styleId="newementa">
    <w:name w:val="new_ementa"/>
    <w:basedOn w:val="Normal"/>
    <w:rsid w:val="00E464E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paragraph" w:customStyle="1" w:styleId="newtextojustificadorecprimeirlinhaespsimp">
    <w:name w:val="new_texto_justificado_rec_primeir_linha_esp_simp"/>
    <w:basedOn w:val="Normal"/>
    <w:rsid w:val="00E464E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E464E4"/>
    <w:rPr>
      <w:b/>
      <w:bCs/>
    </w:rPr>
  </w:style>
  <w:style w:type="paragraph" w:customStyle="1" w:styleId="newtabelatextocentralizado">
    <w:name w:val="new_tabela_texto_centralizado"/>
    <w:basedOn w:val="Normal"/>
    <w:rsid w:val="00E464E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semiHidden/>
    <w:unhideWhenUsed/>
    <w:rsid w:val="00E464E4"/>
    <w:rPr>
      <w:color w:val="0000FF"/>
      <w:u w:val="single"/>
    </w:rPr>
  </w:style>
  <w:style w:type="paragraph" w:styleId="PargrafodaLista">
    <w:name w:val="List Paragraph"/>
    <w:basedOn w:val="Normal"/>
    <w:uiPriority w:val="34"/>
    <w:qFormat/>
    <w:rsid w:val="00E464E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77018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585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5870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1098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9199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378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iof.ro.gov.br/data/uploads/2017/04/Doe-05_04_2017.pdf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diof.ro.gov.br/data/uploads/2017/04/Doe-05_04_2017.pdf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hyperlink" Target="http://sei.sistemas.ro.gov.br/sei/controlador_externo.php?acao=documento_conferir&amp;id_orgao_acesso_externo=0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6</Pages>
  <Words>2582</Words>
  <Characters>13943</Characters>
  <Application>Microsoft Office Word</Application>
  <DocSecurity>0</DocSecurity>
  <Lines>116</Lines>
  <Paragraphs>32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DECRETO N° 27.901, DE 9 DE FEVEREIRO DE 2023</dc:title>
  <dc:subject>Altera, acresce e revoga dispositivos do Regulamento do Imposto sobre Operações Relativas à Circulação de Mercadorias e sobre Prestações de Serviços de Transporte Interestadual e Intermunicipal e de Comunicação - RICMS/RO, aprovado pelo Decreto n° 22.721, de 5 de abril de 2018.</dc:subject>
  <dc:creator>Mariana Cavalcante Maciel</dc:creator>
  <cp:keywords/>
  <dc:description/>
  <cp:lastModifiedBy>Mariana Cavalcante Maciel</cp:lastModifiedBy>
  <cp:revision>10</cp:revision>
  <dcterms:created xsi:type="dcterms:W3CDTF">2023-02-10T15:17:00Z</dcterms:created>
  <dcterms:modified xsi:type="dcterms:W3CDTF">2023-02-15T11:50:00Z</dcterms:modified>
</cp:coreProperties>
</file>