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0AFB17C" w14:textId="4870CE7E" w:rsidR="008A4213" w:rsidRPr="00F6527B" w:rsidRDefault="008A4213" w:rsidP="008A4213">
      <w:pPr>
        <w:spacing w:after="0" w:line="240" w:lineRule="auto"/>
        <w:rPr>
          <w:rFonts w:eastAsia="Times New Roman" w:cs="Times New Roman"/>
          <w:color w:val="000000"/>
          <w:sz w:val="20"/>
          <w:szCs w:val="20"/>
          <w:lang w:eastAsia="pt-BR"/>
        </w:rPr>
      </w:pPr>
      <w:r w:rsidRPr="00F6527B">
        <w:rPr>
          <w:rFonts w:eastAsia="Times New Roman" w:cs="Times New Roman"/>
          <w:color w:val="000000"/>
          <w:sz w:val="20"/>
          <w:szCs w:val="20"/>
          <w:lang w:eastAsia="pt-BR"/>
        </w:rPr>
        <w:t>Diário Oficial do Estado de Rondônia nº 18</w:t>
      </w:r>
      <w:r>
        <w:rPr>
          <w:rFonts w:eastAsia="Times New Roman" w:cs="Times New Roman"/>
          <w:color w:val="000000"/>
          <w:sz w:val="20"/>
          <w:szCs w:val="20"/>
          <w:lang w:eastAsia="pt-BR"/>
        </w:rPr>
        <w:t>8</w:t>
      </w:r>
      <w:r w:rsidRPr="00F6527B">
        <w:rPr>
          <w:rFonts w:eastAsia="Times New Roman" w:cs="Times New Roman"/>
          <w:color w:val="000000"/>
          <w:sz w:val="20"/>
          <w:szCs w:val="20"/>
          <w:lang w:eastAsia="pt-BR"/>
        </w:rPr>
        <w:br/>
        <w:t xml:space="preserve">Disponibilização: </w:t>
      </w:r>
      <w:r w:rsidR="00E8128C">
        <w:rPr>
          <w:rFonts w:eastAsia="Times New Roman" w:cs="Times New Roman"/>
          <w:color w:val="000000"/>
          <w:sz w:val="20"/>
          <w:szCs w:val="20"/>
          <w:lang w:eastAsia="pt-BR"/>
        </w:rPr>
        <w:t>25</w:t>
      </w:r>
      <w:r w:rsidRPr="00F6527B">
        <w:rPr>
          <w:rFonts w:eastAsia="Times New Roman" w:cs="Times New Roman"/>
          <w:color w:val="000000"/>
          <w:sz w:val="20"/>
          <w:szCs w:val="20"/>
          <w:lang w:eastAsia="pt-BR"/>
        </w:rPr>
        <w:t>/09/2020</w:t>
      </w:r>
      <w:r w:rsidRPr="00F6527B">
        <w:rPr>
          <w:rFonts w:eastAsia="Times New Roman" w:cs="Times New Roman"/>
          <w:color w:val="000000"/>
          <w:sz w:val="20"/>
          <w:szCs w:val="20"/>
          <w:lang w:eastAsia="pt-BR"/>
        </w:rPr>
        <w:br/>
        <w:t xml:space="preserve">Publicação: </w:t>
      </w:r>
      <w:r w:rsidR="00E8128C">
        <w:rPr>
          <w:rFonts w:eastAsia="Times New Roman" w:cs="Times New Roman"/>
          <w:color w:val="000000"/>
          <w:sz w:val="20"/>
          <w:szCs w:val="20"/>
          <w:lang w:eastAsia="pt-BR"/>
        </w:rPr>
        <w:t>25</w:t>
      </w:r>
      <w:r w:rsidRPr="00F6527B">
        <w:rPr>
          <w:rFonts w:eastAsia="Times New Roman" w:cs="Times New Roman"/>
          <w:color w:val="000000"/>
          <w:sz w:val="20"/>
          <w:szCs w:val="20"/>
          <w:lang w:eastAsia="pt-BR"/>
        </w:rPr>
        <w:t>/09/2020</w:t>
      </w:r>
    </w:p>
    <w:p w14:paraId="202830A7" w14:textId="07668C7B" w:rsidR="00BD050C" w:rsidRPr="00BD050C" w:rsidRDefault="00BD050C" w:rsidP="00BD050C">
      <w:pPr>
        <w:spacing w:before="120" w:after="120" w:line="240" w:lineRule="auto"/>
        <w:ind w:left="120" w:right="120"/>
        <w:jc w:val="center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BD050C">
        <w:rPr>
          <w:noProof/>
          <w:sz w:val="24"/>
          <w:szCs w:val="24"/>
        </w:rPr>
        <w:drawing>
          <wp:inline distT="0" distB="0" distL="0" distR="0" wp14:anchorId="5B785193" wp14:editId="7F4B50C5">
            <wp:extent cx="929640" cy="716280"/>
            <wp:effectExtent l="0" t="0" r="0" b="7620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9640" cy="716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0DF2F8A" w14:textId="338070D7" w:rsidR="00BD050C" w:rsidRPr="00BD050C" w:rsidRDefault="00BD050C" w:rsidP="00BD050C">
      <w:pPr>
        <w:spacing w:before="120" w:after="120" w:line="240" w:lineRule="auto"/>
        <w:ind w:left="120" w:right="120"/>
        <w:jc w:val="center"/>
        <w:rPr>
          <w:rFonts w:eastAsia="Times New Roman" w:cs="Times New Roman"/>
          <w:color w:val="000000"/>
          <w:sz w:val="24"/>
          <w:szCs w:val="24"/>
          <w:lang w:eastAsia="pt-BR"/>
        </w:rPr>
      </w:pPr>
    </w:p>
    <w:p w14:paraId="4D2F95CD" w14:textId="77777777" w:rsidR="00BD050C" w:rsidRPr="00BD050C" w:rsidRDefault="00BD050C" w:rsidP="00BD050C">
      <w:pPr>
        <w:spacing w:before="120" w:after="120" w:line="240" w:lineRule="auto"/>
        <w:ind w:left="120" w:right="120"/>
        <w:jc w:val="center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BD050C">
        <w:rPr>
          <w:rFonts w:eastAsia="Times New Roman" w:cs="Times New Roman"/>
          <w:color w:val="000000"/>
          <w:sz w:val="24"/>
          <w:szCs w:val="24"/>
          <w:lang w:eastAsia="pt-BR"/>
        </w:rPr>
        <w:t>Secretaria de Estado de Finanças - SEFIN</w:t>
      </w:r>
    </w:p>
    <w:p w14:paraId="3592BD0E" w14:textId="77777777" w:rsidR="00BD050C" w:rsidRPr="00BD050C" w:rsidRDefault="00BD050C" w:rsidP="00BD050C">
      <w:pPr>
        <w:spacing w:before="120" w:after="120" w:line="240" w:lineRule="auto"/>
        <w:ind w:left="120" w:right="120"/>
        <w:jc w:val="center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BD050C">
        <w:rPr>
          <w:rFonts w:eastAsia="Times New Roman" w:cs="Times New Roman"/>
          <w:b/>
          <w:bCs/>
          <w:color w:val="000000"/>
          <w:sz w:val="24"/>
          <w:szCs w:val="24"/>
          <w:lang w:eastAsia="pt-BR"/>
        </w:rPr>
        <w:t>Instrução Normativa nº 045/2020/SEFIN/GAB/CRE</w:t>
      </w:r>
    </w:p>
    <w:p w14:paraId="596B84EC" w14:textId="77777777" w:rsidR="00BD050C" w:rsidRPr="00BD050C" w:rsidRDefault="00BD050C" w:rsidP="00BD050C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BD050C">
        <w:rPr>
          <w:rFonts w:eastAsia="Times New Roman" w:cs="Times New Roman"/>
          <w:color w:val="000000"/>
          <w:sz w:val="24"/>
          <w:szCs w:val="24"/>
          <w:lang w:eastAsia="pt-BR"/>
        </w:rPr>
        <w:t> </w:t>
      </w:r>
    </w:p>
    <w:p w14:paraId="0CD72C7A" w14:textId="77777777" w:rsidR="00BD050C" w:rsidRPr="00BD050C" w:rsidRDefault="00BD050C" w:rsidP="0022783D">
      <w:pPr>
        <w:spacing w:before="120" w:after="120" w:line="240" w:lineRule="auto"/>
        <w:ind w:left="3402" w:right="120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BD050C">
        <w:rPr>
          <w:rFonts w:eastAsia="Times New Roman" w:cs="Times New Roman"/>
          <w:color w:val="000000"/>
          <w:sz w:val="24"/>
          <w:szCs w:val="24"/>
          <w:lang w:eastAsia="pt-BR"/>
        </w:rPr>
        <w:t>Altera e acrescenta dispositivos à </w:t>
      </w:r>
      <w:hyperlink r:id="rId5" w:tgtFrame="_blank" w:history="1">
        <w:r w:rsidRPr="00BD050C">
          <w:rPr>
            <w:rFonts w:eastAsia="Times New Roman" w:cs="Times New Roman"/>
            <w:sz w:val="24"/>
            <w:szCs w:val="24"/>
            <w:lang w:eastAsia="pt-BR"/>
          </w:rPr>
          <w:t>Instrução Normativa n. 029/2020/GAB/CRE</w:t>
        </w:r>
      </w:hyperlink>
      <w:r w:rsidRPr="00BD050C">
        <w:rPr>
          <w:rFonts w:eastAsia="Times New Roman" w:cs="Times New Roman"/>
          <w:sz w:val="24"/>
          <w:szCs w:val="24"/>
          <w:lang w:eastAsia="pt-BR"/>
        </w:rPr>
        <w:t>,</w:t>
      </w:r>
      <w:r w:rsidRPr="00BD050C">
        <w:rPr>
          <w:rFonts w:eastAsia="Times New Roman" w:cs="Times New Roman"/>
          <w:color w:val="000000"/>
          <w:sz w:val="24"/>
          <w:szCs w:val="24"/>
          <w:lang w:eastAsia="pt-BR"/>
        </w:rPr>
        <w:t xml:space="preserve"> de 24 de julho de 2020, que dispõe sobre os requisitos e procedimentos para análise e liberação de mercadorias ou bens importados do exterior quando não for exigido o pagamento do imposto, integral ou parcial, no desembaraço aduaneiro.</w:t>
      </w:r>
      <w:bookmarkStart w:id="0" w:name="_GoBack"/>
      <w:bookmarkEnd w:id="0"/>
    </w:p>
    <w:p w14:paraId="35D1F686" w14:textId="77777777" w:rsidR="00BD050C" w:rsidRPr="00BD050C" w:rsidRDefault="00BD050C" w:rsidP="00BD050C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BD050C">
        <w:rPr>
          <w:rFonts w:eastAsia="Times New Roman" w:cs="Times New Roman"/>
          <w:color w:val="000000"/>
          <w:sz w:val="24"/>
          <w:szCs w:val="24"/>
          <w:lang w:eastAsia="pt-BR"/>
        </w:rPr>
        <w:t> </w:t>
      </w:r>
    </w:p>
    <w:p w14:paraId="52EB40FB" w14:textId="77777777" w:rsidR="00BD050C" w:rsidRPr="00BD050C" w:rsidRDefault="00BD050C" w:rsidP="00BD050C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BD050C">
        <w:rPr>
          <w:rFonts w:eastAsia="Times New Roman" w:cs="Times New Roman"/>
          <w:b/>
          <w:bCs/>
          <w:color w:val="000000"/>
          <w:sz w:val="24"/>
          <w:szCs w:val="24"/>
          <w:lang w:eastAsia="pt-BR"/>
        </w:rPr>
        <w:t>O COORDENADOR GERAL DA RECEITA ESTADUAL</w:t>
      </w:r>
      <w:r w:rsidRPr="00BD050C">
        <w:rPr>
          <w:rFonts w:eastAsia="Times New Roman" w:cs="Times New Roman"/>
          <w:color w:val="000000"/>
          <w:sz w:val="24"/>
          <w:szCs w:val="24"/>
          <w:lang w:eastAsia="pt-BR"/>
        </w:rPr>
        <w:t>, no uso de suas atribuições legais;</w:t>
      </w:r>
    </w:p>
    <w:p w14:paraId="2628AFE8" w14:textId="77777777" w:rsidR="00BD050C" w:rsidRPr="00BD050C" w:rsidRDefault="00BD050C" w:rsidP="00BD050C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BD050C">
        <w:rPr>
          <w:rFonts w:eastAsia="Times New Roman" w:cs="Times New Roman"/>
          <w:color w:val="000000"/>
          <w:sz w:val="24"/>
          <w:szCs w:val="24"/>
          <w:lang w:eastAsia="pt-BR"/>
        </w:rPr>
        <w:t> </w:t>
      </w:r>
    </w:p>
    <w:p w14:paraId="01F11F24" w14:textId="77777777" w:rsidR="00BD050C" w:rsidRPr="00BD050C" w:rsidRDefault="00BD050C" w:rsidP="00BD050C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BD050C">
        <w:rPr>
          <w:rFonts w:eastAsia="Times New Roman" w:cs="Times New Roman"/>
          <w:b/>
          <w:bCs/>
          <w:color w:val="000000"/>
          <w:sz w:val="24"/>
          <w:szCs w:val="24"/>
          <w:u w:val="single"/>
          <w:lang w:eastAsia="pt-BR"/>
        </w:rPr>
        <w:t>D</w:t>
      </w:r>
      <w:r w:rsidRPr="00BD050C">
        <w:rPr>
          <w:rFonts w:eastAsia="Times New Roman" w:cs="Times New Roman"/>
          <w:b/>
          <w:bCs/>
          <w:color w:val="000000"/>
          <w:sz w:val="24"/>
          <w:szCs w:val="24"/>
          <w:lang w:eastAsia="pt-BR"/>
        </w:rPr>
        <w:t> </w:t>
      </w:r>
      <w:r w:rsidRPr="00BD050C">
        <w:rPr>
          <w:rFonts w:eastAsia="Times New Roman" w:cs="Times New Roman"/>
          <w:b/>
          <w:bCs/>
          <w:color w:val="000000"/>
          <w:sz w:val="24"/>
          <w:szCs w:val="24"/>
          <w:u w:val="single"/>
          <w:lang w:eastAsia="pt-BR"/>
        </w:rPr>
        <w:t>E</w:t>
      </w:r>
      <w:r w:rsidRPr="00BD050C">
        <w:rPr>
          <w:rFonts w:eastAsia="Times New Roman" w:cs="Times New Roman"/>
          <w:b/>
          <w:bCs/>
          <w:color w:val="000000"/>
          <w:sz w:val="24"/>
          <w:szCs w:val="24"/>
          <w:lang w:eastAsia="pt-BR"/>
        </w:rPr>
        <w:t> </w:t>
      </w:r>
      <w:r w:rsidRPr="00BD050C">
        <w:rPr>
          <w:rFonts w:eastAsia="Times New Roman" w:cs="Times New Roman"/>
          <w:b/>
          <w:bCs/>
          <w:color w:val="000000"/>
          <w:sz w:val="24"/>
          <w:szCs w:val="24"/>
          <w:u w:val="single"/>
          <w:lang w:eastAsia="pt-BR"/>
        </w:rPr>
        <w:t>T</w:t>
      </w:r>
      <w:r w:rsidRPr="00BD050C">
        <w:rPr>
          <w:rFonts w:eastAsia="Times New Roman" w:cs="Times New Roman"/>
          <w:b/>
          <w:bCs/>
          <w:color w:val="000000"/>
          <w:sz w:val="24"/>
          <w:szCs w:val="24"/>
          <w:lang w:eastAsia="pt-BR"/>
        </w:rPr>
        <w:t> </w:t>
      </w:r>
      <w:r w:rsidRPr="00BD050C">
        <w:rPr>
          <w:rFonts w:eastAsia="Times New Roman" w:cs="Times New Roman"/>
          <w:b/>
          <w:bCs/>
          <w:color w:val="000000"/>
          <w:sz w:val="24"/>
          <w:szCs w:val="24"/>
          <w:u w:val="single"/>
          <w:lang w:eastAsia="pt-BR"/>
        </w:rPr>
        <w:t>E</w:t>
      </w:r>
      <w:r w:rsidRPr="00BD050C">
        <w:rPr>
          <w:rFonts w:eastAsia="Times New Roman" w:cs="Times New Roman"/>
          <w:b/>
          <w:bCs/>
          <w:color w:val="000000"/>
          <w:sz w:val="24"/>
          <w:szCs w:val="24"/>
          <w:lang w:eastAsia="pt-BR"/>
        </w:rPr>
        <w:t> </w:t>
      </w:r>
      <w:r w:rsidRPr="00BD050C">
        <w:rPr>
          <w:rFonts w:eastAsia="Times New Roman" w:cs="Times New Roman"/>
          <w:b/>
          <w:bCs/>
          <w:color w:val="000000"/>
          <w:sz w:val="24"/>
          <w:szCs w:val="24"/>
          <w:u w:val="single"/>
          <w:lang w:eastAsia="pt-BR"/>
        </w:rPr>
        <w:t>R</w:t>
      </w:r>
      <w:r w:rsidRPr="00BD050C">
        <w:rPr>
          <w:rFonts w:eastAsia="Times New Roman" w:cs="Times New Roman"/>
          <w:b/>
          <w:bCs/>
          <w:color w:val="000000"/>
          <w:sz w:val="24"/>
          <w:szCs w:val="24"/>
          <w:lang w:eastAsia="pt-BR"/>
        </w:rPr>
        <w:t> </w:t>
      </w:r>
      <w:r w:rsidRPr="00BD050C">
        <w:rPr>
          <w:rFonts w:eastAsia="Times New Roman" w:cs="Times New Roman"/>
          <w:b/>
          <w:bCs/>
          <w:color w:val="000000"/>
          <w:sz w:val="24"/>
          <w:szCs w:val="24"/>
          <w:u w:val="single"/>
          <w:lang w:eastAsia="pt-BR"/>
        </w:rPr>
        <w:t>M</w:t>
      </w:r>
      <w:r w:rsidRPr="00BD050C">
        <w:rPr>
          <w:rFonts w:eastAsia="Times New Roman" w:cs="Times New Roman"/>
          <w:b/>
          <w:bCs/>
          <w:color w:val="000000"/>
          <w:sz w:val="24"/>
          <w:szCs w:val="24"/>
          <w:lang w:eastAsia="pt-BR"/>
        </w:rPr>
        <w:t> </w:t>
      </w:r>
      <w:r w:rsidRPr="00BD050C">
        <w:rPr>
          <w:rFonts w:eastAsia="Times New Roman" w:cs="Times New Roman"/>
          <w:b/>
          <w:bCs/>
          <w:color w:val="000000"/>
          <w:sz w:val="24"/>
          <w:szCs w:val="24"/>
          <w:u w:val="single"/>
          <w:lang w:eastAsia="pt-BR"/>
        </w:rPr>
        <w:t>I</w:t>
      </w:r>
      <w:r w:rsidRPr="00BD050C">
        <w:rPr>
          <w:rFonts w:eastAsia="Times New Roman" w:cs="Times New Roman"/>
          <w:b/>
          <w:bCs/>
          <w:color w:val="000000"/>
          <w:sz w:val="24"/>
          <w:szCs w:val="24"/>
          <w:lang w:eastAsia="pt-BR"/>
        </w:rPr>
        <w:t> </w:t>
      </w:r>
      <w:r w:rsidRPr="00BD050C">
        <w:rPr>
          <w:rFonts w:eastAsia="Times New Roman" w:cs="Times New Roman"/>
          <w:b/>
          <w:bCs/>
          <w:color w:val="000000"/>
          <w:sz w:val="24"/>
          <w:szCs w:val="24"/>
          <w:u w:val="single"/>
          <w:lang w:eastAsia="pt-BR"/>
        </w:rPr>
        <w:t>N</w:t>
      </w:r>
      <w:r w:rsidRPr="00BD050C">
        <w:rPr>
          <w:rFonts w:eastAsia="Times New Roman" w:cs="Times New Roman"/>
          <w:b/>
          <w:bCs/>
          <w:color w:val="000000"/>
          <w:sz w:val="24"/>
          <w:szCs w:val="24"/>
          <w:lang w:eastAsia="pt-BR"/>
        </w:rPr>
        <w:t> </w:t>
      </w:r>
      <w:r w:rsidRPr="00BD050C">
        <w:rPr>
          <w:rFonts w:eastAsia="Times New Roman" w:cs="Times New Roman"/>
          <w:b/>
          <w:bCs/>
          <w:color w:val="000000"/>
          <w:sz w:val="24"/>
          <w:szCs w:val="24"/>
          <w:u w:val="single"/>
          <w:lang w:eastAsia="pt-BR"/>
        </w:rPr>
        <w:t>A</w:t>
      </w:r>
    </w:p>
    <w:p w14:paraId="1A4462F9" w14:textId="77777777" w:rsidR="00BD050C" w:rsidRPr="00BD050C" w:rsidRDefault="00BD050C" w:rsidP="00BD050C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BD050C">
        <w:rPr>
          <w:rFonts w:eastAsia="Times New Roman" w:cs="Times New Roman"/>
          <w:color w:val="000000"/>
          <w:sz w:val="24"/>
          <w:szCs w:val="24"/>
          <w:lang w:eastAsia="pt-BR"/>
        </w:rPr>
        <w:t> </w:t>
      </w:r>
    </w:p>
    <w:p w14:paraId="4C95BB75" w14:textId="794B8A7D" w:rsidR="00BD050C" w:rsidRPr="00BD050C" w:rsidRDefault="00BD050C" w:rsidP="00BD050C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sz w:val="24"/>
          <w:szCs w:val="24"/>
          <w:lang w:eastAsia="pt-BR"/>
        </w:rPr>
      </w:pPr>
      <w:r w:rsidRPr="00BD050C">
        <w:rPr>
          <w:rFonts w:eastAsia="Times New Roman" w:cs="Times New Roman"/>
          <w:color w:val="000000"/>
          <w:sz w:val="24"/>
          <w:szCs w:val="24"/>
          <w:lang w:eastAsia="pt-BR"/>
        </w:rPr>
        <w:t xml:space="preserve">Art. 1º Passa a vigorar, com a seguinte redação, o dispositivo adiante enumerado </w:t>
      </w:r>
      <w:r w:rsidRPr="00BD050C">
        <w:rPr>
          <w:rFonts w:eastAsia="Times New Roman" w:cs="Times New Roman"/>
          <w:sz w:val="24"/>
          <w:szCs w:val="24"/>
          <w:lang w:eastAsia="pt-BR"/>
        </w:rPr>
        <w:t>da Instrução Normativa n. 029/2020/GAB/CRE: </w:t>
      </w:r>
    </w:p>
    <w:p w14:paraId="27454F8C" w14:textId="31C177E5" w:rsidR="00BD050C" w:rsidRDefault="00BD050C" w:rsidP="00BD050C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BD050C">
        <w:rPr>
          <w:rFonts w:eastAsia="Times New Roman" w:cs="Times New Roman"/>
          <w:color w:val="000000"/>
          <w:sz w:val="24"/>
          <w:szCs w:val="24"/>
          <w:lang w:eastAsia="pt-BR"/>
        </w:rPr>
        <w:t xml:space="preserve">I - </w:t>
      </w:r>
      <w:proofErr w:type="gramStart"/>
      <w:r w:rsidRPr="00BD050C">
        <w:rPr>
          <w:rFonts w:eastAsia="Times New Roman" w:cs="Times New Roman"/>
          <w:color w:val="000000"/>
          <w:sz w:val="24"/>
          <w:szCs w:val="24"/>
          <w:lang w:eastAsia="pt-BR"/>
        </w:rPr>
        <w:t>o</w:t>
      </w:r>
      <w:proofErr w:type="gramEnd"/>
      <w:r w:rsidRPr="00BD050C">
        <w:rPr>
          <w:rFonts w:eastAsia="Times New Roman" w:cs="Times New Roman"/>
          <w:color w:val="000000"/>
          <w:sz w:val="24"/>
          <w:szCs w:val="24"/>
          <w:lang w:eastAsia="pt-BR"/>
        </w:rPr>
        <w:t xml:space="preserve"> § 2º do artigo 1º</w:t>
      </w:r>
    </w:p>
    <w:p w14:paraId="6621491B" w14:textId="77777777" w:rsidR="0058755D" w:rsidRPr="00BD050C" w:rsidRDefault="0058755D" w:rsidP="00BD050C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</w:p>
    <w:p w14:paraId="290971BF" w14:textId="23767298" w:rsidR="00BD050C" w:rsidRPr="00BD050C" w:rsidRDefault="00BD050C" w:rsidP="00BD050C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BD050C">
        <w:rPr>
          <w:rFonts w:eastAsia="Times New Roman" w:cs="Times New Roman"/>
          <w:color w:val="000000"/>
          <w:sz w:val="24"/>
          <w:szCs w:val="24"/>
          <w:lang w:eastAsia="pt-BR"/>
        </w:rPr>
        <w:t>“Art. 1º.....................................................................................................................</w:t>
      </w:r>
      <w:r w:rsidR="0058755D">
        <w:rPr>
          <w:rFonts w:eastAsia="Times New Roman" w:cs="Times New Roman"/>
          <w:color w:val="000000"/>
          <w:sz w:val="24"/>
          <w:szCs w:val="24"/>
          <w:lang w:eastAsia="pt-BR"/>
        </w:rPr>
        <w:t>..</w:t>
      </w:r>
    </w:p>
    <w:p w14:paraId="6A5D7597" w14:textId="135EB1B1" w:rsidR="00BD050C" w:rsidRDefault="00BD050C" w:rsidP="00BD050C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BD050C">
        <w:rPr>
          <w:rFonts w:eastAsia="Times New Roman" w:cs="Times New Roman"/>
          <w:color w:val="000000"/>
          <w:sz w:val="24"/>
          <w:szCs w:val="24"/>
          <w:lang w:eastAsia="pt-BR"/>
        </w:rPr>
        <w:t>...................................................................................................................................</w:t>
      </w:r>
    </w:p>
    <w:p w14:paraId="1E750D74" w14:textId="7972A129" w:rsidR="00BD050C" w:rsidRPr="00BD050C" w:rsidRDefault="00BD050C" w:rsidP="00BD050C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BD050C">
        <w:rPr>
          <w:rFonts w:eastAsia="Times New Roman" w:cs="Times New Roman"/>
          <w:color w:val="000000"/>
          <w:sz w:val="24"/>
          <w:szCs w:val="24"/>
          <w:lang w:eastAsia="pt-BR"/>
        </w:rPr>
        <w:t>§ 2º As condições previstas no artigo 1º, que deverão ser atendidas na data da análise para aposição do visto, são, exclusivamente:</w:t>
      </w:r>
    </w:p>
    <w:p w14:paraId="0B91EEB0" w14:textId="77777777" w:rsidR="00BD050C" w:rsidRPr="00BD050C" w:rsidRDefault="00BD050C" w:rsidP="00BD050C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BD050C">
        <w:rPr>
          <w:rFonts w:eastAsia="Times New Roman" w:cs="Times New Roman"/>
          <w:color w:val="000000"/>
          <w:sz w:val="24"/>
          <w:szCs w:val="24"/>
          <w:lang w:eastAsia="pt-BR"/>
        </w:rPr>
        <w:t xml:space="preserve">I - </w:t>
      </w:r>
      <w:proofErr w:type="gramStart"/>
      <w:r w:rsidRPr="00BD050C">
        <w:rPr>
          <w:rFonts w:eastAsia="Times New Roman" w:cs="Times New Roman"/>
          <w:color w:val="000000"/>
          <w:sz w:val="24"/>
          <w:szCs w:val="24"/>
          <w:lang w:eastAsia="pt-BR"/>
        </w:rPr>
        <w:t>inscrição</w:t>
      </w:r>
      <w:proofErr w:type="gramEnd"/>
      <w:r w:rsidRPr="00BD050C">
        <w:rPr>
          <w:rFonts w:eastAsia="Times New Roman" w:cs="Times New Roman"/>
          <w:color w:val="000000"/>
          <w:sz w:val="24"/>
          <w:szCs w:val="24"/>
          <w:lang w:eastAsia="pt-BR"/>
        </w:rPr>
        <w:t xml:space="preserve"> estadual ativa;</w:t>
      </w:r>
    </w:p>
    <w:p w14:paraId="787E9DB7" w14:textId="77777777" w:rsidR="00BD050C" w:rsidRPr="00BD050C" w:rsidRDefault="00BD050C" w:rsidP="00BD050C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BD050C">
        <w:rPr>
          <w:rFonts w:eastAsia="Times New Roman" w:cs="Times New Roman"/>
          <w:color w:val="000000"/>
          <w:sz w:val="24"/>
          <w:szCs w:val="24"/>
          <w:lang w:eastAsia="pt-BR"/>
        </w:rPr>
        <w:t xml:space="preserve">II - </w:t>
      </w:r>
      <w:proofErr w:type="gramStart"/>
      <w:r w:rsidRPr="00BD050C">
        <w:rPr>
          <w:rFonts w:eastAsia="Times New Roman" w:cs="Times New Roman"/>
          <w:color w:val="000000"/>
          <w:sz w:val="24"/>
          <w:szCs w:val="24"/>
          <w:lang w:eastAsia="pt-BR"/>
        </w:rPr>
        <w:t>regime</w:t>
      </w:r>
      <w:proofErr w:type="gramEnd"/>
      <w:r w:rsidRPr="00BD050C">
        <w:rPr>
          <w:rFonts w:eastAsia="Times New Roman" w:cs="Times New Roman"/>
          <w:color w:val="000000"/>
          <w:sz w:val="24"/>
          <w:szCs w:val="24"/>
          <w:lang w:eastAsia="pt-BR"/>
        </w:rPr>
        <w:t xml:space="preserve"> especial ativo no sistema SITAFE e disponível para consulta pública na REDESIM de Rondônia;</w:t>
      </w:r>
    </w:p>
    <w:p w14:paraId="2C757622" w14:textId="25FE8480" w:rsidR="00BD050C" w:rsidRPr="00BD050C" w:rsidRDefault="00BD050C" w:rsidP="00BD050C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BD050C">
        <w:rPr>
          <w:rFonts w:eastAsia="Times New Roman" w:cs="Times New Roman"/>
          <w:color w:val="000000"/>
          <w:sz w:val="24"/>
          <w:szCs w:val="24"/>
          <w:lang w:eastAsia="pt-BR"/>
        </w:rPr>
        <w:t>III - certidão que comprove não possuir débitos vencidos e não pagos junto à Fazenda Pública Estadual, inscritos ou não na Dívida Ativa do Estado; e</w:t>
      </w:r>
    </w:p>
    <w:p w14:paraId="3141CB8C" w14:textId="77777777" w:rsidR="00BD050C" w:rsidRPr="00BD050C" w:rsidRDefault="00BD050C" w:rsidP="00BD050C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BD050C">
        <w:rPr>
          <w:rFonts w:eastAsia="Times New Roman" w:cs="Times New Roman"/>
          <w:color w:val="000000"/>
          <w:sz w:val="24"/>
          <w:szCs w:val="24"/>
          <w:lang w:eastAsia="pt-BR"/>
        </w:rPr>
        <w:t xml:space="preserve">IV - </w:t>
      </w:r>
      <w:proofErr w:type="gramStart"/>
      <w:r w:rsidRPr="00BD050C">
        <w:rPr>
          <w:rFonts w:eastAsia="Times New Roman" w:cs="Times New Roman"/>
          <w:color w:val="000000"/>
          <w:sz w:val="24"/>
          <w:szCs w:val="24"/>
          <w:lang w:eastAsia="pt-BR"/>
        </w:rPr>
        <w:t>anexação</w:t>
      </w:r>
      <w:proofErr w:type="gramEnd"/>
      <w:r w:rsidRPr="00BD050C">
        <w:rPr>
          <w:rFonts w:eastAsia="Times New Roman" w:cs="Times New Roman"/>
          <w:color w:val="000000"/>
          <w:sz w:val="24"/>
          <w:szCs w:val="24"/>
          <w:lang w:eastAsia="pt-BR"/>
        </w:rPr>
        <w:t xml:space="preserve"> de todos os documentos mencionados no artigo 1º, cuja análise será realizada em momento futuro." (N.R.)</w:t>
      </w:r>
    </w:p>
    <w:p w14:paraId="442A817E" w14:textId="77777777" w:rsidR="00BD050C" w:rsidRPr="00BD050C" w:rsidRDefault="00BD050C" w:rsidP="00BD050C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BD050C">
        <w:rPr>
          <w:rFonts w:eastAsia="Times New Roman" w:cs="Times New Roman"/>
          <w:color w:val="000000"/>
          <w:sz w:val="24"/>
          <w:szCs w:val="24"/>
          <w:lang w:eastAsia="pt-BR"/>
        </w:rPr>
        <w:t> </w:t>
      </w:r>
    </w:p>
    <w:p w14:paraId="2DB68B20" w14:textId="67B07599" w:rsidR="00BD050C" w:rsidRDefault="00BD050C" w:rsidP="00BD050C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sz w:val="24"/>
          <w:szCs w:val="24"/>
          <w:lang w:eastAsia="pt-BR"/>
        </w:rPr>
      </w:pPr>
      <w:r w:rsidRPr="00BD050C">
        <w:rPr>
          <w:rFonts w:eastAsia="Times New Roman" w:cs="Times New Roman"/>
          <w:color w:val="000000"/>
          <w:sz w:val="24"/>
          <w:szCs w:val="24"/>
          <w:lang w:eastAsia="pt-BR"/>
        </w:rPr>
        <w:lastRenderedPageBreak/>
        <w:t xml:space="preserve">Art. 2º Fica acrescentado, com a seguinte redação, o § 3º ao artigo 1º </w:t>
      </w:r>
      <w:r w:rsidRPr="00BD050C">
        <w:rPr>
          <w:rFonts w:eastAsia="Times New Roman" w:cs="Times New Roman"/>
          <w:sz w:val="24"/>
          <w:szCs w:val="24"/>
          <w:lang w:eastAsia="pt-BR"/>
        </w:rPr>
        <w:t>da </w:t>
      </w:r>
      <w:hyperlink r:id="rId6" w:tgtFrame="_blank" w:history="1">
        <w:r w:rsidRPr="00BD050C">
          <w:rPr>
            <w:rFonts w:eastAsia="Times New Roman" w:cs="Times New Roman"/>
            <w:sz w:val="24"/>
            <w:szCs w:val="24"/>
            <w:lang w:eastAsia="pt-BR"/>
          </w:rPr>
          <w:t>Instrução Normativa n. 029/2020/GAB/CRE</w:t>
        </w:r>
      </w:hyperlink>
      <w:r w:rsidRPr="00BD050C">
        <w:rPr>
          <w:rFonts w:eastAsia="Times New Roman" w:cs="Times New Roman"/>
          <w:sz w:val="24"/>
          <w:szCs w:val="24"/>
          <w:lang w:eastAsia="pt-BR"/>
        </w:rPr>
        <w:t>: </w:t>
      </w:r>
    </w:p>
    <w:p w14:paraId="779C5BE6" w14:textId="77777777" w:rsidR="0058755D" w:rsidRPr="00BD050C" w:rsidRDefault="0058755D" w:rsidP="00BD050C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sz w:val="24"/>
          <w:szCs w:val="24"/>
          <w:lang w:eastAsia="pt-BR"/>
        </w:rPr>
      </w:pPr>
    </w:p>
    <w:p w14:paraId="4F0427FC" w14:textId="5C96F78C" w:rsidR="00BD050C" w:rsidRPr="00BD050C" w:rsidRDefault="00BD050C" w:rsidP="00BD050C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BD050C">
        <w:rPr>
          <w:rFonts w:eastAsia="Times New Roman" w:cs="Times New Roman"/>
          <w:color w:val="000000"/>
          <w:sz w:val="24"/>
          <w:szCs w:val="24"/>
          <w:lang w:eastAsia="pt-BR"/>
        </w:rPr>
        <w:t>“Art. 1º.....................................................................................................................</w:t>
      </w:r>
    </w:p>
    <w:p w14:paraId="6D7ED4D2" w14:textId="6B1A5FB7" w:rsidR="00BD050C" w:rsidRDefault="00BD050C" w:rsidP="00BD050C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BD050C">
        <w:rPr>
          <w:rFonts w:eastAsia="Times New Roman" w:cs="Times New Roman"/>
          <w:color w:val="000000"/>
          <w:sz w:val="24"/>
          <w:szCs w:val="24"/>
          <w:lang w:eastAsia="pt-BR"/>
        </w:rPr>
        <w:t>...................................................................................................................................</w:t>
      </w:r>
    </w:p>
    <w:p w14:paraId="6DD6E231" w14:textId="77777777" w:rsidR="0058755D" w:rsidRPr="00BD050C" w:rsidRDefault="0058755D" w:rsidP="00BD050C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</w:p>
    <w:p w14:paraId="35B77A2B" w14:textId="77777777" w:rsidR="00BD050C" w:rsidRPr="00BD050C" w:rsidRDefault="00BD050C" w:rsidP="00BD050C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sz w:val="24"/>
          <w:szCs w:val="24"/>
          <w:lang w:eastAsia="pt-BR"/>
        </w:rPr>
      </w:pPr>
      <w:r w:rsidRPr="00BD050C">
        <w:rPr>
          <w:rFonts w:eastAsia="Times New Roman" w:cs="Times New Roman"/>
          <w:color w:val="000000"/>
          <w:sz w:val="24"/>
          <w:szCs w:val="24"/>
          <w:lang w:eastAsia="pt-BR"/>
        </w:rPr>
        <w:t>§ 3º O visto na GLME, que poderá ser concedido eletronicamente, não tem efeito homologatório, conforme </w:t>
      </w:r>
      <w:hyperlink r:id="rId7" w:anchor="AX_P4_CV_SIV" w:tgtFrame="_blank" w:history="1">
        <w:r w:rsidRPr="00BD050C">
          <w:rPr>
            <w:rFonts w:eastAsia="Times New Roman" w:cs="Times New Roman"/>
            <w:sz w:val="24"/>
            <w:szCs w:val="24"/>
            <w:lang w:eastAsia="pt-BR"/>
          </w:rPr>
          <w:t>§ 1º do artigo 163 do Anexo X do Regulamento do ICMS/RO.</w:t>
        </w:r>
      </w:hyperlink>
      <w:r w:rsidRPr="00BD050C">
        <w:rPr>
          <w:rFonts w:eastAsia="Times New Roman" w:cs="Times New Roman"/>
          <w:sz w:val="24"/>
          <w:szCs w:val="24"/>
          <w:lang w:eastAsia="pt-BR"/>
        </w:rPr>
        <w:t>"</w:t>
      </w:r>
    </w:p>
    <w:p w14:paraId="5AD6A374" w14:textId="77777777" w:rsidR="00BD050C" w:rsidRPr="00BD050C" w:rsidRDefault="00BD050C" w:rsidP="00BD050C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sz w:val="24"/>
          <w:szCs w:val="24"/>
          <w:lang w:eastAsia="pt-BR"/>
        </w:rPr>
      </w:pPr>
      <w:r w:rsidRPr="00BD050C">
        <w:rPr>
          <w:rFonts w:eastAsia="Times New Roman" w:cs="Times New Roman"/>
          <w:sz w:val="24"/>
          <w:szCs w:val="24"/>
          <w:lang w:eastAsia="pt-BR"/>
        </w:rPr>
        <w:t> </w:t>
      </w:r>
    </w:p>
    <w:p w14:paraId="77497F31" w14:textId="77777777" w:rsidR="00BD050C" w:rsidRPr="00BD050C" w:rsidRDefault="00BD050C" w:rsidP="00BD050C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BD050C">
        <w:rPr>
          <w:rFonts w:eastAsia="Times New Roman" w:cs="Times New Roman"/>
          <w:color w:val="000000"/>
          <w:sz w:val="24"/>
          <w:szCs w:val="24"/>
          <w:lang w:eastAsia="pt-BR"/>
        </w:rPr>
        <w:t>Art. 3º Esta Instrução Normativa entra em vigor na data de sua publicação.</w:t>
      </w:r>
    </w:p>
    <w:p w14:paraId="59A163C6" w14:textId="77777777" w:rsidR="00BD050C" w:rsidRPr="00BD050C" w:rsidRDefault="00BD050C" w:rsidP="00BD050C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BD050C">
        <w:rPr>
          <w:rFonts w:eastAsia="Times New Roman" w:cs="Times New Roman"/>
          <w:color w:val="000000"/>
          <w:sz w:val="24"/>
          <w:szCs w:val="24"/>
          <w:lang w:eastAsia="pt-BR"/>
        </w:rPr>
        <w:t> </w:t>
      </w:r>
    </w:p>
    <w:p w14:paraId="1F7D8F34" w14:textId="5D528A50" w:rsidR="00BD050C" w:rsidRPr="00BD050C" w:rsidRDefault="00BD050C" w:rsidP="0058755D">
      <w:pPr>
        <w:spacing w:before="120" w:after="120" w:line="240" w:lineRule="auto"/>
        <w:ind w:left="120" w:right="120"/>
        <w:jc w:val="right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BD050C">
        <w:rPr>
          <w:rFonts w:eastAsia="Times New Roman" w:cs="Times New Roman"/>
          <w:color w:val="000000"/>
          <w:sz w:val="24"/>
          <w:szCs w:val="24"/>
          <w:lang w:eastAsia="pt-BR"/>
        </w:rPr>
        <w:t>Porto Velho, 22</w:t>
      </w:r>
      <w:r w:rsidR="0022783D">
        <w:rPr>
          <w:rFonts w:eastAsia="Times New Roman" w:cs="Times New Roman"/>
          <w:color w:val="000000"/>
          <w:sz w:val="24"/>
          <w:szCs w:val="24"/>
          <w:lang w:eastAsia="pt-BR"/>
        </w:rPr>
        <w:t xml:space="preserve"> </w:t>
      </w:r>
      <w:r w:rsidRPr="00BD050C">
        <w:rPr>
          <w:rFonts w:eastAsia="Times New Roman" w:cs="Times New Roman"/>
          <w:color w:val="000000"/>
          <w:sz w:val="24"/>
          <w:szCs w:val="24"/>
          <w:lang w:eastAsia="pt-BR"/>
        </w:rPr>
        <w:t>de</w:t>
      </w:r>
      <w:r w:rsidR="0022783D">
        <w:rPr>
          <w:rFonts w:eastAsia="Times New Roman" w:cs="Times New Roman"/>
          <w:color w:val="000000"/>
          <w:sz w:val="24"/>
          <w:szCs w:val="24"/>
          <w:lang w:eastAsia="pt-BR"/>
        </w:rPr>
        <w:t xml:space="preserve"> </w:t>
      </w:r>
      <w:r w:rsidRPr="00BD050C">
        <w:rPr>
          <w:rFonts w:eastAsia="Times New Roman" w:cs="Times New Roman"/>
          <w:color w:val="000000"/>
          <w:sz w:val="24"/>
          <w:szCs w:val="24"/>
          <w:lang w:eastAsia="pt-BR"/>
        </w:rPr>
        <w:t>setembro de</w:t>
      </w:r>
      <w:r w:rsidR="0022783D">
        <w:rPr>
          <w:rFonts w:eastAsia="Times New Roman" w:cs="Times New Roman"/>
          <w:color w:val="000000"/>
          <w:sz w:val="24"/>
          <w:szCs w:val="24"/>
          <w:lang w:eastAsia="pt-BR"/>
        </w:rPr>
        <w:t xml:space="preserve"> </w:t>
      </w:r>
      <w:r w:rsidRPr="00BD050C">
        <w:rPr>
          <w:rFonts w:eastAsia="Times New Roman" w:cs="Times New Roman"/>
          <w:color w:val="000000"/>
          <w:sz w:val="24"/>
          <w:szCs w:val="24"/>
          <w:lang w:eastAsia="pt-BR"/>
        </w:rPr>
        <w:t>2020.</w:t>
      </w:r>
    </w:p>
    <w:p w14:paraId="2EEB836D" w14:textId="77777777" w:rsidR="00BD050C" w:rsidRPr="00BD050C" w:rsidRDefault="00BD050C" w:rsidP="00BD050C">
      <w:pPr>
        <w:spacing w:before="100" w:beforeAutospacing="1" w:after="100" w:afterAutospacing="1" w:line="240" w:lineRule="auto"/>
        <w:jc w:val="both"/>
        <w:rPr>
          <w:rFonts w:eastAsia="Times New Roman" w:cs="Times New Roman"/>
          <w:b/>
          <w:bCs/>
          <w:caps/>
          <w:color w:val="000000"/>
          <w:sz w:val="24"/>
          <w:szCs w:val="24"/>
          <w:lang w:eastAsia="pt-BR"/>
        </w:rPr>
      </w:pPr>
      <w:r w:rsidRPr="00BD050C">
        <w:rPr>
          <w:rFonts w:eastAsia="Times New Roman" w:cs="Times New Roman"/>
          <w:b/>
          <w:bCs/>
          <w:caps/>
          <w:color w:val="000000"/>
          <w:sz w:val="24"/>
          <w:szCs w:val="24"/>
          <w:lang w:eastAsia="pt-BR"/>
        </w:rPr>
        <w:t> </w:t>
      </w:r>
    </w:p>
    <w:p w14:paraId="1C1DB5A8" w14:textId="77777777" w:rsidR="00BD050C" w:rsidRPr="00BD050C" w:rsidRDefault="00BD050C" w:rsidP="0022783D">
      <w:pPr>
        <w:spacing w:before="120" w:after="120" w:line="240" w:lineRule="auto"/>
        <w:ind w:left="120" w:right="120"/>
        <w:jc w:val="center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BD050C">
        <w:rPr>
          <w:rFonts w:eastAsia="Times New Roman" w:cs="Times New Roman"/>
          <w:b/>
          <w:bCs/>
          <w:color w:val="000000"/>
          <w:sz w:val="24"/>
          <w:szCs w:val="24"/>
          <w:lang w:eastAsia="pt-BR"/>
        </w:rPr>
        <w:t>ANTONIO CARLOS ALENCAR DO NASCIMENTO</w:t>
      </w:r>
    </w:p>
    <w:p w14:paraId="3ACEA554" w14:textId="77777777" w:rsidR="00BD050C" w:rsidRPr="00BD050C" w:rsidRDefault="00BD050C" w:rsidP="0022783D">
      <w:pPr>
        <w:spacing w:before="120" w:after="120" w:line="240" w:lineRule="auto"/>
        <w:ind w:left="120" w:right="120"/>
        <w:jc w:val="center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BD050C">
        <w:rPr>
          <w:rFonts w:eastAsia="Times New Roman" w:cs="Times New Roman"/>
          <w:color w:val="000000"/>
          <w:sz w:val="24"/>
          <w:szCs w:val="24"/>
          <w:lang w:eastAsia="pt-BR"/>
        </w:rPr>
        <w:t>Coordenador Geral da Receita Estadual</w:t>
      </w:r>
    </w:p>
    <w:p w14:paraId="24A9634E" w14:textId="77777777" w:rsidR="00BD050C" w:rsidRPr="00BD050C" w:rsidRDefault="00E8128C" w:rsidP="00BD050C">
      <w:pPr>
        <w:spacing w:after="60" w:line="240" w:lineRule="auto"/>
        <w:rPr>
          <w:rFonts w:ascii="Calibri" w:eastAsia="Times New Roman" w:hAnsi="Calibri" w:cs="Times New Roman"/>
          <w:sz w:val="20"/>
          <w:szCs w:val="20"/>
          <w:lang w:eastAsia="pt-BR"/>
        </w:rPr>
      </w:pPr>
      <w:r>
        <w:rPr>
          <w:rFonts w:ascii="Calibri" w:eastAsia="Times New Roman" w:hAnsi="Calibri" w:cs="Times New Roman"/>
          <w:sz w:val="20"/>
          <w:szCs w:val="20"/>
          <w:lang w:eastAsia="pt-BR"/>
        </w:rPr>
        <w:pict w14:anchorId="31DE57D5">
          <v:rect id="_x0000_i1025" style="width:0;height:1.5pt" o:hralign="center" o:hrstd="t" o:hrnoshade="t" o:hr="t" fillcolor="black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07"/>
        <w:gridCol w:w="8231"/>
      </w:tblGrid>
      <w:tr w:rsidR="00BD050C" w:rsidRPr="00BD050C" w14:paraId="394C5FA6" w14:textId="77777777" w:rsidTr="00BD050C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1536E5F" w14:textId="48C74DCF" w:rsidR="00BD050C" w:rsidRPr="00BD050C" w:rsidRDefault="00BD050C" w:rsidP="00BD05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t-BR"/>
              </w:rPr>
            </w:pPr>
            <w:r w:rsidRPr="00BD050C">
              <w:rPr>
                <w:rFonts w:ascii="Calibri" w:hAnsi="Calibri"/>
                <w:noProof/>
                <w:sz w:val="20"/>
                <w:szCs w:val="20"/>
              </w:rPr>
              <w:drawing>
                <wp:inline distT="0" distB="0" distL="0" distR="0" wp14:anchorId="39DC61A4" wp14:editId="51DDE5D7">
                  <wp:extent cx="845820" cy="571500"/>
                  <wp:effectExtent l="0" t="0" r="0" b="0"/>
                  <wp:docPr id="2" name="Imagem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5820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48BDED7B" w14:textId="0F98F16D" w:rsidR="00BD050C" w:rsidRPr="00BD050C" w:rsidRDefault="00BD050C" w:rsidP="00BD050C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t-BR"/>
              </w:rPr>
            </w:pPr>
            <w:r w:rsidRPr="00BD050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t-BR"/>
              </w:rPr>
              <w:t>Documento assinado eletronicamente por</w:t>
            </w:r>
            <w:r w:rsidR="0022783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t-BR"/>
              </w:rPr>
              <w:t xml:space="preserve"> </w:t>
            </w:r>
            <w:r w:rsidRPr="00BD050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t-BR"/>
              </w:rPr>
              <w:t> </w:t>
            </w:r>
            <w:r w:rsidRPr="00BD050C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pt-BR"/>
              </w:rPr>
              <w:t>ANTONIO CARLOS ALENCAR DO NASCIMENTO</w:t>
            </w:r>
            <w:r w:rsidRPr="00BD050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t-BR"/>
              </w:rPr>
              <w:t>, </w:t>
            </w:r>
            <w:r w:rsidRPr="00BD050C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pt-BR"/>
              </w:rPr>
              <w:t>Coordenador(a)</w:t>
            </w:r>
            <w:r w:rsidRPr="00BD050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t-BR"/>
              </w:rPr>
              <w:t>, em 24/09/2020, às 12:46, conforme horário oficial de Brasília, com fundamento no artigo 18 caput e seus §§ 1º e 2º, do </w:t>
            </w:r>
            <w:hyperlink r:id="rId9" w:tgtFrame="_blank" w:tooltip="Acesse o Decreto" w:history="1">
              <w:r w:rsidRPr="00BD050C">
                <w:rPr>
                  <w:rFonts w:ascii="Calibri" w:eastAsia="Times New Roman" w:hAnsi="Calibri" w:cs="Times New Roman"/>
                  <w:color w:val="0000FF"/>
                  <w:sz w:val="20"/>
                  <w:szCs w:val="20"/>
                  <w:u w:val="single"/>
                  <w:lang w:eastAsia="pt-BR"/>
                </w:rPr>
                <w:t>Decreto nº 21.794, de 5 Abril de 2017.</w:t>
              </w:r>
            </w:hyperlink>
          </w:p>
        </w:tc>
      </w:tr>
    </w:tbl>
    <w:p w14:paraId="41FE4696" w14:textId="77777777" w:rsidR="00BD050C" w:rsidRPr="00BD050C" w:rsidRDefault="00E8128C" w:rsidP="00BD050C">
      <w:pPr>
        <w:spacing w:after="60" w:line="240" w:lineRule="auto"/>
        <w:rPr>
          <w:rFonts w:ascii="Calibri" w:eastAsia="Times New Roman" w:hAnsi="Calibri" w:cs="Times New Roman"/>
          <w:sz w:val="20"/>
          <w:szCs w:val="20"/>
          <w:lang w:eastAsia="pt-BR"/>
        </w:rPr>
      </w:pPr>
      <w:r>
        <w:rPr>
          <w:rFonts w:ascii="Calibri" w:eastAsia="Times New Roman" w:hAnsi="Calibri" w:cs="Times New Roman"/>
          <w:sz w:val="20"/>
          <w:szCs w:val="20"/>
          <w:lang w:eastAsia="pt-BR"/>
        </w:rPr>
        <w:pict w14:anchorId="569AB38F">
          <v:rect id="_x0000_i1026" style="width:0;height:1.5pt" o:hralign="center" o:hrstd="t" o:hrnoshade="t" o:hr="t" fillcolor="black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71"/>
        <w:gridCol w:w="8267"/>
      </w:tblGrid>
      <w:tr w:rsidR="00BD050C" w:rsidRPr="00BD050C" w14:paraId="00F7CEE0" w14:textId="77777777" w:rsidTr="00BD050C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2E6B5D1" w14:textId="4B3B7538" w:rsidR="00BD050C" w:rsidRPr="00BD050C" w:rsidRDefault="00BD050C" w:rsidP="00BD05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t-BR"/>
              </w:rPr>
            </w:pPr>
            <w:r w:rsidRPr="00BD050C">
              <w:rPr>
                <w:rFonts w:ascii="Calibri" w:hAnsi="Calibri"/>
                <w:noProof/>
                <w:sz w:val="20"/>
                <w:szCs w:val="20"/>
              </w:rPr>
              <w:drawing>
                <wp:inline distT="0" distB="0" distL="0" distR="0" wp14:anchorId="07E74CC5" wp14:editId="4AD0E705">
                  <wp:extent cx="822960" cy="822960"/>
                  <wp:effectExtent l="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22960" cy="8229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77D9FE25" w14:textId="77777777" w:rsidR="00BD050C" w:rsidRPr="00BD050C" w:rsidRDefault="00BD050C" w:rsidP="00BD050C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t-BR"/>
              </w:rPr>
            </w:pPr>
            <w:r w:rsidRPr="00BD050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t-BR"/>
              </w:rPr>
              <w:t>A autenticidade deste documento pode ser conferida no site </w:t>
            </w:r>
            <w:hyperlink r:id="rId11" w:tgtFrame="_blank" w:tooltip="Página de Autenticidade de Documentos" w:history="1">
              <w:r w:rsidRPr="00BD050C">
                <w:rPr>
                  <w:rFonts w:ascii="Calibri" w:eastAsia="Times New Roman" w:hAnsi="Calibri" w:cs="Times New Roman"/>
                  <w:color w:val="0000FF"/>
                  <w:sz w:val="20"/>
                  <w:szCs w:val="20"/>
                  <w:u w:val="single"/>
                  <w:lang w:eastAsia="pt-BR"/>
                </w:rPr>
                <w:t>portal do SEI</w:t>
              </w:r>
            </w:hyperlink>
            <w:r w:rsidRPr="00BD050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t-BR"/>
              </w:rPr>
              <w:t>, informando o código verificador </w:t>
            </w:r>
            <w:r w:rsidRPr="00BD050C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pt-BR"/>
              </w:rPr>
              <w:t>0013665276</w:t>
            </w:r>
            <w:r w:rsidRPr="00BD050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t-BR"/>
              </w:rPr>
              <w:t> e o código CRC </w:t>
            </w:r>
            <w:r w:rsidRPr="00BD050C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pt-BR"/>
              </w:rPr>
              <w:t>B294FF8C</w:t>
            </w:r>
            <w:r w:rsidRPr="00BD050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t-BR"/>
              </w:rPr>
              <w:t>.</w:t>
            </w:r>
          </w:p>
        </w:tc>
      </w:tr>
    </w:tbl>
    <w:p w14:paraId="3DC81D8C" w14:textId="77777777" w:rsidR="00BD050C" w:rsidRPr="00BD050C" w:rsidRDefault="00E8128C" w:rsidP="00BD050C">
      <w:pPr>
        <w:spacing w:before="15" w:after="15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t-BR"/>
        </w:rPr>
        <w:pict w14:anchorId="4F78D08C">
          <v:rect id="_x0000_i1027" style="width:0;height:1.5pt" o:hralign="center" o:hrstd="t" o:hrnoshade="t" o:hr="t" fillcolor="black" stroked="f"/>
        </w:pict>
      </w:r>
    </w:p>
    <w:p w14:paraId="41226A36" w14:textId="77777777" w:rsidR="00BD050C" w:rsidRPr="00BD050C" w:rsidRDefault="00BD050C" w:rsidP="00BD050C">
      <w:pPr>
        <w:spacing w:before="15" w:after="15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sectPr w:rsidR="00BD050C" w:rsidRPr="00BD050C" w:rsidSect="00BD050C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0A13"/>
    <w:rsid w:val="0008765E"/>
    <w:rsid w:val="0022783D"/>
    <w:rsid w:val="00580A13"/>
    <w:rsid w:val="0058755D"/>
    <w:rsid w:val="008A4213"/>
    <w:rsid w:val="00BD050C"/>
    <w:rsid w:val="00E812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739456"/>
  <w15:chartTrackingRefBased/>
  <w15:docId w15:val="{A4649F59-16CA-4179-ABE3-E6BED5010F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textocentralizado">
    <w:name w:val="texto_centralizado"/>
    <w:basedOn w:val="Normal"/>
    <w:rsid w:val="00BD05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BD050C"/>
    <w:rPr>
      <w:b/>
      <w:bCs/>
    </w:rPr>
  </w:style>
  <w:style w:type="paragraph" w:customStyle="1" w:styleId="textojustificadorecuoprimeiralinha">
    <w:name w:val="texto_justificado_recuo_primeira_linha"/>
    <w:basedOn w:val="Normal"/>
    <w:rsid w:val="00BD05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semiHidden/>
    <w:unhideWhenUsed/>
    <w:rsid w:val="00BD050C"/>
    <w:rPr>
      <w:color w:val="0000FF"/>
      <w:u w:val="single"/>
    </w:rPr>
  </w:style>
  <w:style w:type="paragraph" w:customStyle="1" w:styleId="newtextojustificadorecuoprimeiralinha">
    <w:name w:val="new_texto_justificado_recuo_primeira_linha"/>
    <w:basedOn w:val="Normal"/>
    <w:rsid w:val="00BD05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extoalinhadodireita">
    <w:name w:val="texto_alinhado_direita"/>
    <w:basedOn w:val="Normal"/>
    <w:rsid w:val="00BD05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extocentralizadomaiusculasnegrito">
    <w:name w:val="texto_centralizado_maiusculas_negrito"/>
    <w:basedOn w:val="Normal"/>
    <w:rsid w:val="00BD05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textocentralizado">
    <w:name w:val="new_texto_centralizado"/>
    <w:basedOn w:val="Normal"/>
    <w:rsid w:val="00BD05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NormalWeb">
    <w:name w:val="Normal (Web)"/>
    <w:basedOn w:val="Normal"/>
    <w:uiPriority w:val="99"/>
    <w:semiHidden/>
    <w:unhideWhenUsed/>
    <w:rsid w:val="00BD05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15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s://legislacao.sefin.ro.gov.br/textoLegislacao.jsp?texto=198" TargetMode="Externa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sefin.ro.gov.br/portalsefin/anexos/IN20-029--Dispoe-sobre-os-requisitos-para-aposicao-de-visto-na-GLME---consolid-ate-IN20-038.pdf" TargetMode="External"/><Relationship Id="rId11" Type="http://schemas.openxmlformats.org/officeDocument/2006/relationships/hyperlink" Target="http://sei.sistemas.ro.gov.br/sei/controlador_externo.php?acao=documento_conferir&amp;id_orgao_acesso_externo=0" TargetMode="External"/><Relationship Id="rId5" Type="http://schemas.openxmlformats.org/officeDocument/2006/relationships/hyperlink" Target="https://www.sefin.ro.gov.br/portalsefin/anexos/IN20-029--Dispoe-sobre-os-requisitos-para-aposicao-de-visto-na-GLME---consolid-ate-IN20-038.pdf" TargetMode="External"/><Relationship Id="rId10" Type="http://schemas.openxmlformats.org/officeDocument/2006/relationships/image" Target="media/image3.png"/><Relationship Id="rId4" Type="http://schemas.openxmlformats.org/officeDocument/2006/relationships/image" Target="media/image1.png"/><Relationship Id="rId9" Type="http://schemas.openxmlformats.org/officeDocument/2006/relationships/hyperlink" Target="http://www.diof.ro.gov.br/data/uploads/2017/04/Doe-05_04_2017.pdf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536</Words>
  <Characters>2895</Characters>
  <Application>Microsoft Office Word</Application>
  <DocSecurity>0</DocSecurity>
  <Lines>24</Lines>
  <Paragraphs>6</Paragraphs>
  <ScaleCrop>false</ScaleCrop>
  <Company/>
  <LinksUpToDate>false</LinksUpToDate>
  <CharactersWithSpaces>3425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Instrução Normativa nº 045/2020/SEFIN/GAB/CRE</dc:title>
  <dc:subject>Altera e acrescenta dispositivos à Instrução Normativa n. 029/2020/GAB/CRE, de 24 de julho de 2020, que dispõe sobre os requisitos e procedimentos para análise e liberação de mercadorias ou bens importados do exterior quando não for exigido o pagamento do imposto, integral ou parcial, no desembaraço aduaneiro.</dc:subject>
  <dc:creator>Sefin Contabilidade</dc:creator>
  <cp:keywords/>
  <dc:description/>
  <cp:lastModifiedBy>Sefin Contabilidade</cp:lastModifiedBy>
  <cp:revision>6</cp:revision>
  <dcterms:created xsi:type="dcterms:W3CDTF">2020-09-25T12:06:00Z</dcterms:created>
  <dcterms:modified xsi:type="dcterms:W3CDTF">2020-09-25T12:34:00Z</dcterms:modified>
</cp:coreProperties>
</file>