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94"/>
        <w:ind w:left="2682" w:right="1813" w:firstLine="8"/>
        <w:jc w:val="both"/>
        <w:rPr>
          <w:rFonts w:ascii="Arial" w:hAnsi="Arial"/>
          <w:b/>
          <w:sz w:val="26"/>
        </w:rPr>
      </w:pPr>
      <w:r>
        <w:rPr>
          <w:rFonts w:ascii="Arial" w:hAnsi="Arial"/>
          <w:b/>
          <w:sz w:val="30"/>
        </w:rPr>
        <w:t>GOVERNO</w:t>
      </w:r>
      <w:r>
        <w:rPr>
          <w:rFonts w:ascii="Arial" w:hAnsi="Arial"/>
          <w:b/>
          <w:spacing w:val="-4"/>
          <w:sz w:val="30"/>
        </w:rPr>
        <w:t> </w:t>
      </w:r>
      <w:r>
        <w:rPr>
          <w:rFonts w:ascii="Arial" w:hAnsi="Arial"/>
          <w:b/>
          <w:sz w:val="30"/>
        </w:rPr>
        <w:t>DO</w:t>
      </w:r>
      <w:r>
        <w:rPr>
          <w:rFonts w:ascii="Arial" w:hAnsi="Arial"/>
          <w:b/>
          <w:spacing w:val="-4"/>
          <w:sz w:val="30"/>
        </w:rPr>
        <w:t> </w:t>
      </w:r>
      <w:r>
        <w:rPr>
          <w:rFonts w:ascii="Arial" w:hAnsi="Arial"/>
          <w:b/>
          <w:sz w:val="30"/>
        </w:rPr>
        <w:t>ESTADO</w:t>
      </w:r>
      <w:r>
        <w:rPr>
          <w:rFonts w:ascii="Arial" w:hAnsi="Arial"/>
          <w:b/>
          <w:spacing w:val="-1"/>
          <w:sz w:val="30"/>
        </w:rPr>
        <w:t> </w:t>
      </w:r>
      <w:r>
        <w:rPr>
          <w:rFonts w:ascii="Arial" w:hAnsi="Arial"/>
          <w:b/>
          <w:sz w:val="30"/>
        </w:rPr>
        <w:t>DE</w:t>
      </w:r>
      <w:r>
        <w:rPr>
          <w:rFonts w:ascii="Arial" w:hAnsi="Arial"/>
          <w:b/>
          <w:spacing w:val="-5"/>
          <w:sz w:val="30"/>
        </w:rPr>
        <w:t> </w:t>
      </w:r>
      <w:r>
        <w:rPr>
          <w:rFonts w:ascii="Arial" w:hAnsi="Arial"/>
          <w:b/>
          <w:sz w:val="30"/>
        </w:rPr>
        <w:t>RONDÔNIA</w:t>
      </w:r>
      <w:r>
        <w:rPr>
          <w:rFonts w:ascii="Arial" w:hAnsi="Arial"/>
          <w:b/>
          <w:spacing w:val="-81"/>
          <w:sz w:val="30"/>
        </w:rPr>
        <w:t> </w:t>
      </w:r>
      <w:bookmarkStart w:name="SECRETARIA DE ESTADO DE FINANÇAS" w:id="1"/>
      <w:bookmarkEnd w:id="1"/>
      <w:r>
        <w:rPr>
          <w:rFonts w:ascii="Arial" w:hAnsi="Arial"/>
          <w:b/>
          <w:sz w:val="26"/>
        </w:rPr>
        <w:t>SE</w:t>
      </w:r>
      <w:r>
        <w:rPr>
          <w:rFonts w:ascii="Arial" w:hAnsi="Arial"/>
          <w:b/>
          <w:sz w:val="26"/>
        </w:rPr>
        <w:t>CRETARIA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ESTADO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FINANÇAS</w:t>
      </w:r>
      <w:r>
        <w:rPr>
          <w:rFonts w:ascii="Arial" w:hAnsi="Arial"/>
          <w:b/>
          <w:spacing w:val="1"/>
          <w:sz w:val="26"/>
        </w:rPr>
        <w:t> </w:t>
      </w:r>
      <w:bookmarkStart w:name="COORDENADORIA DA RECEITA ESTADUAL" w:id="2"/>
      <w:bookmarkEnd w:id="2"/>
      <w:r>
        <w:rPr>
          <w:rFonts w:ascii="Arial" w:hAnsi="Arial"/>
          <w:b/>
          <w:sz w:val="26"/>
        </w:rPr>
        <w:t>COOR</w:t>
      </w:r>
      <w:r>
        <w:rPr>
          <w:rFonts w:ascii="Arial" w:hAnsi="Arial"/>
          <w:b/>
          <w:sz w:val="26"/>
        </w:rPr>
        <w:t>DENADORIA</w:t>
      </w:r>
      <w:r>
        <w:rPr>
          <w:rFonts w:ascii="Arial" w:hAnsi="Arial"/>
          <w:b/>
          <w:spacing w:val="-6"/>
          <w:sz w:val="26"/>
        </w:rPr>
        <w:t> </w:t>
      </w:r>
      <w:r>
        <w:rPr>
          <w:rFonts w:ascii="Arial" w:hAnsi="Arial"/>
          <w:b/>
          <w:sz w:val="26"/>
        </w:rPr>
        <w:t>DA</w:t>
      </w:r>
      <w:r>
        <w:rPr>
          <w:rFonts w:ascii="Arial" w:hAnsi="Arial"/>
          <w:b/>
          <w:spacing w:val="-7"/>
          <w:sz w:val="26"/>
        </w:rPr>
        <w:t> </w:t>
      </w:r>
      <w:r>
        <w:rPr>
          <w:rFonts w:ascii="Arial" w:hAnsi="Arial"/>
          <w:b/>
          <w:sz w:val="26"/>
        </w:rPr>
        <w:t>RECEITA</w:t>
      </w:r>
      <w:r>
        <w:rPr>
          <w:rFonts w:ascii="Arial" w:hAnsi="Arial"/>
          <w:b/>
          <w:spacing w:val="-7"/>
          <w:sz w:val="26"/>
        </w:rPr>
        <w:t> </w:t>
      </w:r>
      <w:r>
        <w:rPr>
          <w:rFonts w:ascii="Arial" w:hAnsi="Arial"/>
          <w:b/>
          <w:sz w:val="26"/>
        </w:rPr>
        <w:t>ESTADUAL</w:t>
      </w:r>
    </w:p>
    <w:p>
      <w:pPr>
        <w:pStyle w:val="Heading1"/>
        <w:spacing w:before="233"/>
        <w:ind w:right="1414"/>
        <w:rPr>
          <w:rFonts w:ascii="Arial" w:hAnsi="Arial"/>
        </w:rPr>
      </w:pPr>
      <w:bookmarkStart w:name="PARECER NORMATIVO Nº 002 /2002/CRE/SEFIN" w:id="3"/>
      <w:bookmarkEnd w:id="3"/>
      <w:r>
        <w:rPr>
          <w:b w:val="0"/>
          <w:i w:val="0"/>
        </w:rPr>
      </w:r>
      <w:r>
        <w:rPr>
          <w:rFonts w:ascii="Arial" w:hAnsi="Arial"/>
        </w:rPr>
        <w:t>PA</w:t>
      </w:r>
      <w:bookmarkStart w:name="PUBLICADO NO DOE Nº 5029, DE 24/07/2002" w:id="4"/>
      <w:bookmarkEnd w:id="4"/>
      <w:r>
        <w:rPr>
          <w:rFonts w:ascii="Arial" w:hAnsi="Arial"/>
        </w:rPr>
        <w:t>R</w:t>
      </w:r>
      <w:r>
        <w:rPr>
          <w:rFonts w:ascii="Arial" w:hAnsi="Arial"/>
        </w:rPr>
        <w:t>ECER</w:t>
      </w:r>
      <w:r>
        <w:rPr>
          <w:rFonts w:ascii="Arial" w:hAnsi="Arial"/>
          <w:spacing w:val="-6"/>
        </w:rPr>
        <w:t> </w:t>
      </w:r>
      <w:r>
        <w:rPr>
          <w:rFonts w:ascii="Arial" w:hAnsi="Arial"/>
        </w:rPr>
        <w:t>NORMATIVO</w:t>
      </w:r>
      <w:r>
        <w:rPr>
          <w:rFonts w:ascii="Arial" w:hAnsi="Arial"/>
          <w:spacing w:val="-5"/>
        </w:rPr>
        <w:t> </w:t>
      </w:r>
      <w:r>
        <w:rPr>
          <w:rFonts w:ascii="Arial" w:hAnsi="Arial"/>
        </w:rPr>
        <w:t>Nº</w:t>
      </w:r>
      <w:r>
        <w:rPr>
          <w:rFonts w:ascii="Arial" w:hAnsi="Arial"/>
          <w:spacing w:val="-7"/>
        </w:rPr>
        <w:t> </w:t>
      </w:r>
      <w:r>
        <w:rPr>
          <w:rFonts w:ascii="Arial" w:hAnsi="Arial"/>
        </w:rPr>
        <w:t>002</w:t>
      </w:r>
      <w:r>
        <w:rPr>
          <w:rFonts w:ascii="Arial" w:hAnsi="Arial"/>
          <w:spacing w:val="-7"/>
        </w:rPr>
        <w:t> </w:t>
      </w:r>
      <w:r>
        <w:rPr>
          <w:rFonts w:ascii="Arial" w:hAnsi="Arial"/>
        </w:rPr>
        <w:t>/2002/CRE/SEFIN</w:t>
      </w:r>
    </w:p>
    <w:p>
      <w:pPr>
        <w:spacing w:line="322" w:lineRule="exact" w:before="0"/>
        <w:ind w:left="2256" w:right="1406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PUBLICADO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NO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DOE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Nº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5029,</w:t>
      </w:r>
      <w:r>
        <w:rPr>
          <w:b/>
          <w:i/>
          <w:spacing w:val="-1"/>
          <w:sz w:val="28"/>
        </w:rPr>
        <w:t> </w:t>
      </w:r>
      <w:r>
        <w:rPr>
          <w:b/>
          <w:i/>
          <w:sz w:val="28"/>
        </w:rPr>
        <w:t>DE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24/07/2002</w:t>
      </w:r>
    </w:p>
    <w:p>
      <w:pPr>
        <w:pStyle w:val="BodyText"/>
        <w:spacing w:before="1"/>
        <w:rPr>
          <w:b/>
          <w:sz w:val="24"/>
        </w:rPr>
      </w:pPr>
    </w:p>
    <w:p>
      <w:pPr>
        <w:spacing w:before="0"/>
        <w:ind w:left="112" w:right="0" w:firstLine="0"/>
        <w:jc w:val="left"/>
        <w:rPr>
          <w:b/>
          <w:sz w:val="26"/>
        </w:rPr>
      </w:pPr>
      <w:r>
        <w:rPr>
          <w:b/>
          <w:color w:val="FF0000"/>
          <w:sz w:val="26"/>
        </w:rPr>
        <w:t>REVOGADO</w:t>
      </w:r>
      <w:r>
        <w:rPr>
          <w:b/>
          <w:color w:val="FF0000"/>
          <w:spacing w:val="-2"/>
          <w:sz w:val="26"/>
        </w:rPr>
        <w:t> </w:t>
      </w:r>
      <w:r>
        <w:rPr>
          <w:b/>
          <w:color w:val="FF0000"/>
          <w:sz w:val="26"/>
        </w:rPr>
        <w:t>PELO</w:t>
      </w:r>
      <w:r>
        <w:rPr>
          <w:b/>
          <w:color w:val="FF0000"/>
          <w:spacing w:val="-4"/>
          <w:sz w:val="26"/>
        </w:rPr>
        <w:t> </w:t>
      </w:r>
      <w:r>
        <w:rPr>
          <w:b/>
          <w:color w:val="FF0000"/>
          <w:sz w:val="26"/>
        </w:rPr>
        <w:t>DEC.</w:t>
      </w:r>
      <w:r>
        <w:rPr>
          <w:b/>
          <w:color w:val="FF0000"/>
          <w:spacing w:val="-3"/>
          <w:sz w:val="26"/>
        </w:rPr>
        <w:t> </w:t>
      </w:r>
      <w:r>
        <w:rPr>
          <w:b/>
          <w:color w:val="FF0000"/>
          <w:sz w:val="26"/>
        </w:rPr>
        <w:t>Nº</w:t>
      </w:r>
      <w:r>
        <w:rPr>
          <w:b/>
          <w:color w:val="FF0000"/>
          <w:spacing w:val="-4"/>
          <w:sz w:val="26"/>
        </w:rPr>
        <w:t> </w:t>
      </w:r>
      <w:r>
        <w:rPr>
          <w:b/>
          <w:color w:val="FF0000"/>
          <w:sz w:val="26"/>
        </w:rPr>
        <w:t>20046,</w:t>
      </w:r>
      <w:r>
        <w:rPr>
          <w:b/>
          <w:color w:val="FF0000"/>
          <w:spacing w:val="-3"/>
          <w:sz w:val="26"/>
        </w:rPr>
        <w:t> </w:t>
      </w:r>
      <w:r>
        <w:rPr>
          <w:b/>
          <w:color w:val="FF0000"/>
          <w:sz w:val="26"/>
        </w:rPr>
        <w:t>DE</w:t>
      </w:r>
      <w:r>
        <w:rPr>
          <w:b/>
          <w:color w:val="FF0000"/>
          <w:spacing w:val="-1"/>
          <w:sz w:val="26"/>
        </w:rPr>
        <w:t> </w:t>
      </w:r>
      <w:r>
        <w:rPr>
          <w:b/>
          <w:color w:val="FF0000"/>
          <w:sz w:val="26"/>
        </w:rPr>
        <w:t>24.08.15</w:t>
      </w:r>
      <w:r>
        <w:rPr>
          <w:b/>
          <w:color w:val="FF0000"/>
          <w:spacing w:val="-4"/>
          <w:sz w:val="26"/>
        </w:rPr>
        <w:t> </w:t>
      </w:r>
      <w:r>
        <w:rPr>
          <w:b/>
          <w:color w:val="FF0000"/>
          <w:sz w:val="26"/>
        </w:rPr>
        <w:t>–</w:t>
      </w:r>
      <w:r>
        <w:rPr>
          <w:b/>
          <w:color w:val="FF0000"/>
          <w:spacing w:val="-2"/>
          <w:sz w:val="26"/>
        </w:rPr>
        <w:t> </w:t>
      </w:r>
      <w:r>
        <w:rPr>
          <w:b/>
          <w:color w:val="FF0000"/>
          <w:sz w:val="26"/>
        </w:rPr>
        <w:t>EFEITOS</w:t>
      </w:r>
      <w:r>
        <w:rPr>
          <w:b/>
          <w:color w:val="FF0000"/>
          <w:spacing w:val="-2"/>
          <w:sz w:val="26"/>
        </w:rPr>
        <w:t> </w:t>
      </w:r>
      <w:r>
        <w:rPr>
          <w:b/>
          <w:color w:val="FF0000"/>
          <w:sz w:val="26"/>
        </w:rPr>
        <w:t>A</w:t>
      </w:r>
      <w:r>
        <w:rPr>
          <w:b/>
          <w:color w:val="FF0000"/>
          <w:spacing w:val="-4"/>
          <w:sz w:val="26"/>
        </w:rPr>
        <w:t> </w:t>
      </w:r>
      <w:r>
        <w:rPr>
          <w:b/>
          <w:color w:val="FF0000"/>
          <w:sz w:val="26"/>
        </w:rPr>
        <w:t>PARTIR</w:t>
      </w:r>
      <w:r>
        <w:rPr>
          <w:b/>
          <w:color w:val="FF0000"/>
          <w:spacing w:val="-4"/>
          <w:sz w:val="26"/>
        </w:rPr>
        <w:t> </w:t>
      </w:r>
      <w:r>
        <w:rPr>
          <w:b/>
          <w:color w:val="FF0000"/>
          <w:sz w:val="26"/>
        </w:rPr>
        <w:t>DE</w:t>
      </w:r>
      <w:r>
        <w:rPr>
          <w:b/>
          <w:color w:val="FF0000"/>
          <w:spacing w:val="-3"/>
          <w:sz w:val="26"/>
        </w:rPr>
        <w:t> </w:t>
      </w:r>
      <w:r>
        <w:rPr>
          <w:b/>
          <w:color w:val="FF0000"/>
          <w:sz w:val="26"/>
        </w:rPr>
        <w:t>24.08.15</w:t>
      </w:r>
    </w:p>
    <w:p>
      <w:pPr>
        <w:pStyle w:val="BodyText"/>
        <w:rPr>
          <w:b/>
          <w:i w:val="0"/>
        </w:rPr>
      </w:pPr>
    </w:p>
    <w:p>
      <w:pPr>
        <w:pStyle w:val="BodyText"/>
        <w:spacing w:before="11"/>
        <w:rPr>
          <w:b/>
          <w:i w:val="0"/>
          <w:sz w:val="25"/>
        </w:rPr>
      </w:pPr>
    </w:p>
    <w:p>
      <w:pPr>
        <w:pStyle w:val="Heading1"/>
        <w:tabs>
          <w:tab w:pos="7409" w:val="left" w:leader="none"/>
          <w:tab w:pos="9881" w:val="left" w:leader="none"/>
        </w:tabs>
        <w:spacing w:line="240" w:lineRule="auto"/>
        <w:ind w:left="5464"/>
        <w:jc w:val="both"/>
      </w:pPr>
      <w:r>
        <w:rPr/>
        <w:drawing>
          <wp:anchor distT="0" distB="0" distL="0" distR="0" allowOverlap="1" layoutInCell="1" locked="0" behindDoc="1" simplePos="0" relativeHeight="487546880">
            <wp:simplePos x="0" y="0"/>
            <wp:positionH relativeFrom="page">
              <wp:posOffset>1112519</wp:posOffset>
            </wp:positionH>
            <wp:positionV relativeFrom="paragraph">
              <wp:posOffset>-11806</wp:posOffset>
            </wp:positionV>
            <wp:extent cx="5511800" cy="5514340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1800" cy="5514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Súmula:</w:t>
      </w:r>
      <w:r>
        <w:rPr>
          <w:spacing w:val="1"/>
        </w:rPr>
        <w:t> </w:t>
      </w:r>
      <w:r>
        <w:rPr/>
        <w:t>Prestação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serviço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  <w:tab/>
        <w:t>intermunicipal</w:t>
        <w:tab/>
      </w:r>
      <w:r>
        <w:rPr>
          <w:spacing w:val="-2"/>
        </w:rPr>
        <w:t>e</w:t>
      </w:r>
      <w:r>
        <w:rPr>
          <w:spacing w:val="-68"/>
        </w:rPr>
        <w:t> </w:t>
      </w:r>
      <w:r>
        <w:rPr/>
        <w:t>interestadual vinculada a operações de</w:t>
      </w:r>
      <w:r>
        <w:rPr>
          <w:spacing w:val="-67"/>
        </w:rPr>
        <w:t> </w:t>
      </w:r>
      <w:r>
        <w:rPr/>
        <w:t>exportação,</w:t>
      </w:r>
      <w:r>
        <w:rPr>
          <w:spacing w:val="1"/>
        </w:rPr>
        <w:t> </w:t>
      </w:r>
      <w:r>
        <w:rPr/>
        <w:t>direta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indireta.</w:t>
      </w:r>
      <w:r>
        <w:rPr>
          <w:spacing w:val="-67"/>
        </w:rPr>
        <w:t> </w:t>
      </w:r>
      <w:r>
        <w:rPr/>
        <w:t>Incidência do ICMS.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ind w:left="964" w:right="112" w:firstLine="2834"/>
        <w:jc w:val="both"/>
      </w:pPr>
      <w:r>
        <w:rPr/>
        <w:t>A Lei Complementar nº 87, de 13 de setembro de 1996,</w:t>
      </w:r>
      <w:r>
        <w:rPr>
          <w:spacing w:val="-67"/>
        </w:rPr>
        <w:t> </w:t>
      </w:r>
      <w:r>
        <w:rPr/>
        <w:t>excluiu da incidência do ICMS, com supedâneo na Carta Magna (art.155, §2º,</w:t>
      </w:r>
      <w:r>
        <w:rPr>
          <w:spacing w:val="1"/>
        </w:rPr>
        <w:t> </w:t>
      </w:r>
      <w:r>
        <w:rPr/>
        <w:t>XII,</w:t>
      </w:r>
      <w:r>
        <w:rPr>
          <w:spacing w:val="1"/>
        </w:rPr>
        <w:t> </w:t>
      </w:r>
      <w:r>
        <w:rPr/>
        <w:t>“e”),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prestações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serviço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destinam</w:t>
      </w:r>
      <w:r>
        <w:rPr>
          <w:spacing w:val="1"/>
        </w:rPr>
        <w:t> </w:t>
      </w:r>
      <w:r>
        <w:rPr/>
        <w:t>mercadorias</w:t>
      </w:r>
      <w:r>
        <w:rPr>
          <w:spacing w:val="1"/>
        </w:rPr>
        <w:t> </w:t>
      </w:r>
      <w:r>
        <w:rPr/>
        <w:t>ao</w:t>
      </w:r>
      <w:r>
        <w:rPr>
          <w:spacing w:val="1"/>
        </w:rPr>
        <w:t> </w:t>
      </w:r>
      <w:r>
        <w:rPr/>
        <w:t>exterior.</w:t>
      </w:r>
      <w:r>
        <w:rPr>
          <w:spacing w:val="-67"/>
        </w:rPr>
        <w:t> </w:t>
      </w:r>
      <w:r>
        <w:rPr/>
        <w:t>Citemos:</w:t>
      </w:r>
    </w:p>
    <w:p>
      <w:pPr>
        <w:pStyle w:val="BodyText"/>
      </w:pPr>
    </w:p>
    <w:p>
      <w:pPr>
        <w:pStyle w:val="BodyText"/>
        <w:ind w:left="3798"/>
      </w:pPr>
      <w:r>
        <w:rPr/>
        <w:t>Lei</w:t>
      </w:r>
      <w:r>
        <w:rPr>
          <w:spacing w:val="-2"/>
        </w:rPr>
        <w:t> </w:t>
      </w:r>
      <w:r>
        <w:rPr/>
        <w:t>Complementar</w:t>
      </w:r>
      <w:r>
        <w:rPr>
          <w:spacing w:val="-2"/>
        </w:rPr>
        <w:t> </w:t>
      </w:r>
      <w:r>
        <w:rPr/>
        <w:t>nº</w:t>
      </w:r>
      <w:r>
        <w:rPr>
          <w:spacing w:val="-3"/>
        </w:rPr>
        <w:t> </w:t>
      </w:r>
      <w:r>
        <w:rPr/>
        <w:t>87/96</w:t>
      </w:r>
    </w:p>
    <w:p>
      <w:pPr>
        <w:pStyle w:val="BodyText"/>
      </w:pPr>
    </w:p>
    <w:p>
      <w:pPr>
        <w:pStyle w:val="BodyText"/>
        <w:ind w:left="3844"/>
      </w:pPr>
      <w:r>
        <w:rPr/>
        <w:t>“Art.</w:t>
      </w:r>
      <w:r>
        <w:rPr>
          <w:spacing w:val="-2"/>
        </w:rPr>
        <w:t> </w:t>
      </w:r>
      <w:r>
        <w:rPr/>
        <w:t>3º</w:t>
      </w:r>
      <w:r>
        <w:rPr>
          <w:spacing w:val="-2"/>
        </w:rPr>
        <w:t> </w:t>
      </w:r>
      <w:r>
        <w:rPr/>
        <w:t>O imposto</w:t>
      </w:r>
      <w:r>
        <w:rPr>
          <w:spacing w:val="-1"/>
        </w:rPr>
        <w:t> </w:t>
      </w:r>
      <w:r>
        <w:rPr/>
        <w:t>não</w:t>
      </w:r>
      <w:r>
        <w:rPr>
          <w:spacing w:val="-1"/>
        </w:rPr>
        <w:t> </w:t>
      </w:r>
      <w:r>
        <w:rPr/>
        <w:t>incide</w:t>
      </w:r>
      <w:r>
        <w:rPr>
          <w:spacing w:val="-1"/>
        </w:rPr>
        <w:t> </w:t>
      </w:r>
      <w:r>
        <w:rPr/>
        <w:t>sobre:</w:t>
      </w:r>
    </w:p>
    <w:p>
      <w:pPr>
        <w:pStyle w:val="BodyText"/>
        <w:spacing w:before="120"/>
        <w:ind w:left="3844"/>
      </w:pPr>
      <w:r>
        <w:rPr/>
        <w:t>............................</w:t>
      </w:r>
    </w:p>
    <w:p>
      <w:pPr>
        <w:pStyle w:val="BodyText"/>
        <w:spacing w:before="120"/>
        <w:ind w:left="3844" w:right="116"/>
        <w:jc w:val="both"/>
      </w:pPr>
      <w:r>
        <w:rPr/>
        <w:t>II - operações e prestações que destinem ao exterior</w:t>
      </w:r>
      <w:r>
        <w:rPr>
          <w:spacing w:val="1"/>
        </w:rPr>
        <w:t> </w:t>
      </w:r>
      <w:r>
        <w:rPr/>
        <w:t>mercadorias, inclusive produtos primários e produtos</w:t>
      </w:r>
      <w:r>
        <w:rPr>
          <w:spacing w:val="1"/>
        </w:rPr>
        <w:t> </w:t>
      </w:r>
      <w:r>
        <w:rPr/>
        <w:t>industrializados</w:t>
      </w:r>
      <w:r>
        <w:rPr>
          <w:spacing w:val="1"/>
        </w:rPr>
        <w:t> </w:t>
      </w:r>
      <w:r>
        <w:rPr/>
        <w:t>semi-elaborados, ou</w:t>
      </w:r>
      <w:r>
        <w:rPr>
          <w:spacing w:val="-1"/>
        </w:rPr>
        <w:t> </w:t>
      </w:r>
      <w:r>
        <w:rPr/>
        <w:t>serviços;</w:t>
      </w:r>
    </w:p>
    <w:p>
      <w:pPr>
        <w:pStyle w:val="BodyText"/>
        <w:spacing w:before="121"/>
        <w:ind w:left="2167" w:right="1414"/>
        <w:jc w:val="center"/>
        <w:rPr>
          <w:rFonts w:ascii="Arial"/>
        </w:rPr>
      </w:pPr>
      <w:r>
        <w:rPr>
          <w:rFonts w:ascii="Arial"/>
        </w:rPr>
        <w:t>.........................................</w:t>
      </w:r>
    </w:p>
    <w:p>
      <w:pPr>
        <w:pStyle w:val="BodyText"/>
        <w:spacing w:before="120"/>
        <w:ind w:left="3844" w:right="116"/>
        <w:jc w:val="both"/>
        <w:rPr>
          <w:rFonts w:ascii="Arial" w:hAnsi="Arial"/>
        </w:rPr>
      </w:pPr>
      <w:r>
        <w:rPr>
          <w:rFonts w:ascii="Arial" w:hAnsi="Arial"/>
        </w:rPr>
        <w:t>Parágrafo único. Equipara-se às operações de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que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trata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o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inciso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II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a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saída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mercadoria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realizada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com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o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fim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específico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1"/>
        </w:rPr>
        <w:t> </w:t>
      </w:r>
      <w:r>
        <w:rPr>
          <w:rFonts w:ascii="Arial" w:hAnsi="Arial"/>
        </w:rPr>
        <w:t>exportação</w:t>
      </w:r>
      <w:r>
        <w:rPr>
          <w:rFonts w:ascii="Arial" w:hAnsi="Arial"/>
          <w:spacing w:val="-75"/>
        </w:rPr>
        <w:t> </w:t>
      </w:r>
      <w:r>
        <w:rPr>
          <w:rFonts w:ascii="Arial" w:hAnsi="Arial"/>
        </w:rPr>
        <w:t>para</w:t>
      </w:r>
      <w:r>
        <w:rPr>
          <w:rFonts w:ascii="Arial" w:hAnsi="Arial"/>
          <w:spacing w:val="-2"/>
        </w:rPr>
        <w:t> </w:t>
      </w:r>
      <w:r>
        <w:rPr>
          <w:rFonts w:ascii="Arial" w:hAnsi="Arial"/>
        </w:rPr>
        <w:t>o</w:t>
      </w:r>
      <w:r>
        <w:rPr>
          <w:rFonts w:ascii="Arial" w:hAnsi="Arial"/>
          <w:spacing w:val="-2"/>
        </w:rPr>
        <w:t> </w:t>
      </w:r>
      <w:r>
        <w:rPr>
          <w:rFonts w:ascii="Arial" w:hAnsi="Arial"/>
        </w:rPr>
        <w:t>exterior, destinada</w:t>
      </w:r>
      <w:r>
        <w:rPr>
          <w:rFonts w:ascii="Arial" w:hAnsi="Arial"/>
          <w:spacing w:val="-3"/>
        </w:rPr>
        <w:t> </w:t>
      </w:r>
      <w:r>
        <w:rPr>
          <w:rFonts w:ascii="Arial" w:hAnsi="Arial"/>
        </w:rPr>
        <w:t>a:</w:t>
      </w:r>
    </w:p>
    <w:p>
      <w:pPr>
        <w:pStyle w:val="ListParagraph"/>
        <w:numPr>
          <w:ilvl w:val="0"/>
          <w:numId w:val="1"/>
        </w:numPr>
        <w:tabs>
          <w:tab w:pos="4134" w:val="left" w:leader="none"/>
        </w:tabs>
        <w:spacing w:line="240" w:lineRule="auto" w:before="120" w:after="0"/>
        <w:ind w:left="3844" w:right="120" w:firstLine="0"/>
        <w:jc w:val="both"/>
        <w:rPr>
          <w:i/>
          <w:sz w:val="28"/>
        </w:rPr>
      </w:pPr>
      <w:r>
        <w:rPr>
          <w:i/>
          <w:sz w:val="28"/>
        </w:rPr>
        <w:t>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empresa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comercial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exportadora,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inclusive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“tradings” ou outro estabelecimento da mesma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empresa;</w:t>
      </w:r>
    </w:p>
    <w:p>
      <w:pPr>
        <w:spacing w:after="0" w:line="240" w:lineRule="auto"/>
        <w:jc w:val="both"/>
        <w:rPr>
          <w:sz w:val="28"/>
        </w:rPr>
        <w:sectPr>
          <w:headerReference w:type="default" r:id="rId5"/>
          <w:type w:val="continuous"/>
          <w:pgSz w:w="11900" w:h="16840"/>
          <w:pgMar w:header="578" w:top="2300" w:bottom="280" w:left="740" w:right="1040"/>
          <w:pgNumType w:start="1"/>
        </w:sectPr>
      </w:pPr>
    </w:p>
    <w:p>
      <w:pPr>
        <w:spacing w:before="94"/>
        <w:ind w:left="2682" w:right="1813" w:firstLine="8"/>
        <w:jc w:val="both"/>
        <w:rPr>
          <w:rFonts w:ascii="Arial" w:hAnsi="Arial"/>
          <w:b/>
          <w:sz w:val="26"/>
        </w:rPr>
      </w:pPr>
      <w:r>
        <w:rPr>
          <w:rFonts w:ascii="Arial" w:hAnsi="Arial"/>
          <w:b/>
          <w:sz w:val="30"/>
        </w:rPr>
        <w:t>GOVERNO</w:t>
      </w:r>
      <w:r>
        <w:rPr>
          <w:rFonts w:ascii="Arial" w:hAnsi="Arial"/>
          <w:b/>
          <w:spacing w:val="-4"/>
          <w:sz w:val="30"/>
        </w:rPr>
        <w:t> </w:t>
      </w:r>
      <w:r>
        <w:rPr>
          <w:rFonts w:ascii="Arial" w:hAnsi="Arial"/>
          <w:b/>
          <w:sz w:val="30"/>
        </w:rPr>
        <w:t>DO</w:t>
      </w:r>
      <w:r>
        <w:rPr>
          <w:rFonts w:ascii="Arial" w:hAnsi="Arial"/>
          <w:b/>
          <w:spacing w:val="-4"/>
          <w:sz w:val="30"/>
        </w:rPr>
        <w:t> </w:t>
      </w:r>
      <w:r>
        <w:rPr>
          <w:rFonts w:ascii="Arial" w:hAnsi="Arial"/>
          <w:b/>
          <w:sz w:val="30"/>
        </w:rPr>
        <w:t>ESTADO</w:t>
      </w:r>
      <w:r>
        <w:rPr>
          <w:rFonts w:ascii="Arial" w:hAnsi="Arial"/>
          <w:b/>
          <w:spacing w:val="-1"/>
          <w:sz w:val="30"/>
        </w:rPr>
        <w:t> </w:t>
      </w:r>
      <w:r>
        <w:rPr>
          <w:rFonts w:ascii="Arial" w:hAnsi="Arial"/>
          <w:b/>
          <w:sz w:val="30"/>
        </w:rPr>
        <w:t>DE</w:t>
      </w:r>
      <w:r>
        <w:rPr>
          <w:rFonts w:ascii="Arial" w:hAnsi="Arial"/>
          <w:b/>
          <w:spacing w:val="-5"/>
          <w:sz w:val="30"/>
        </w:rPr>
        <w:t> </w:t>
      </w:r>
      <w:r>
        <w:rPr>
          <w:rFonts w:ascii="Arial" w:hAnsi="Arial"/>
          <w:b/>
          <w:sz w:val="30"/>
        </w:rPr>
        <w:t>RONDÔNIA</w:t>
      </w:r>
      <w:r>
        <w:rPr>
          <w:rFonts w:ascii="Arial" w:hAnsi="Arial"/>
          <w:b/>
          <w:spacing w:val="-81"/>
          <w:sz w:val="30"/>
        </w:rPr>
        <w:t> </w:t>
      </w:r>
      <w:r>
        <w:rPr>
          <w:rFonts w:ascii="Arial" w:hAnsi="Arial"/>
          <w:b/>
          <w:sz w:val="26"/>
        </w:rPr>
        <w:t>SECRETARIA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ESTADO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FINANÇAS</w:t>
      </w:r>
      <w:r>
        <w:rPr>
          <w:rFonts w:ascii="Arial" w:hAnsi="Arial"/>
          <w:b/>
          <w:spacing w:val="1"/>
          <w:sz w:val="26"/>
        </w:rPr>
        <w:t> </w:t>
      </w:r>
      <w:r>
        <w:rPr>
          <w:rFonts w:ascii="Arial" w:hAnsi="Arial"/>
          <w:b/>
          <w:sz w:val="26"/>
        </w:rPr>
        <w:t>COORDENADORIA</w:t>
      </w:r>
      <w:r>
        <w:rPr>
          <w:rFonts w:ascii="Arial" w:hAnsi="Arial"/>
          <w:b/>
          <w:spacing w:val="-6"/>
          <w:sz w:val="26"/>
        </w:rPr>
        <w:t> </w:t>
      </w:r>
      <w:r>
        <w:rPr>
          <w:rFonts w:ascii="Arial" w:hAnsi="Arial"/>
          <w:b/>
          <w:sz w:val="26"/>
        </w:rPr>
        <w:t>DA</w:t>
      </w:r>
      <w:r>
        <w:rPr>
          <w:rFonts w:ascii="Arial" w:hAnsi="Arial"/>
          <w:b/>
          <w:spacing w:val="-7"/>
          <w:sz w:val="26"/>
        </w:rPr>
        <w:t> </w:t>
      </w:r>
      <w:r>
        <w:rPr>
          <w:rFonts w:ascii="Arial" w:hAnsi="Arial"/>
          <w:b/>
          <w:sz w:val="26"/>
        </w:rPr>
        <w:t>RECEITA</w:t>
      </w:r>
      <w:r>
        <w:rPr>
          <w:rFonts w:ascii="Arial" w:hAnsi="Arial"/>
          <w:b/>
          <w:spacing w:val="-7"/>
          <w:sz w:val="26"/>
        </w:rPr>
        <w:t> </w:t>
      </w:r>
      <w:r>
        <w:rPr>
          <w:rFonts w:ascii="Arial" w:hAnsi="Arial"/>
          <w:b/>
          <w:sz w:val="26"/>
        </w:rPr>
        <w:t>ESTADUAL</w:t>
      </w:r>
    </w:p>
    <w:p>
      <w:pPr>
        <w:pStyle w:val="ListParagraph"/>
        <w:numPr>
          <w:ilvl w:val="0"/>
          <w:numId w:val="1"/>
        </w:numPr>
        <w:tabs>
          <w:tab w:pos="4315" w:val="left" w:leader="none"/>
          <w:tab w:pos="4316" w:val="left" w:leader="none"/>
          <w:tab w:pos="4722" w:val="left" w:leader="none"/>
          <w:tab w:pos="6201" w:val="left" w:leader="none"/>
          <w:tab w:pos="8054" w:val="left" w:leader="none"/>
          <w:tab w:pos="8679" w:val="left" w:leader="none"/>
        </w:tabs>
        <w:spacing w:line="240" w:lineRule="auto" w:before="233" w:after="0"/>
        <w:ind w:left="3844" w:right="116" w:firstLine="0"/>
        <w:jc w:val="left"/>
        <w:rPr>
          <w:i/>
          <w:sz w:val="28"/>
        </w:rPr>
      </w:pPr>
      <w:r>
        <w:rPr>
          <w:i/>
          <w:sz w:val="28"/>
        </w:rPr>
        <w:t>-</w:t>
        <w:tab/>
        <w:t>armazém</w:t>
        <w:tab/>
        <w:t>alfandegado</w:t>
        <w:tab/>
        <w:t>ou</w:t>
        <w:tab/>
      </w:r>
      <w:r>
        <w:rPr>
          <w:i/>
          <w:spacing w:val="-1"/>
          <w:sz w:val="28"/>
        </w:rPr>
        <w:t>entreposto</w:t>
      </w:r>
      <w:r>
        <w:rPr>
          <w:i/>
          <w:spacing w:val="-75"/>
          <w:sz w:val="28"/>
        </w:rPr>
        <w:t> </w:t>
      </w:r>
      <w:r>
        <w:rPr>
          <w:i/>
          <w:sz w:val="28"/>
        </w:rPr>
        <w:t>aduaneiro.”</w:t>
      </w:r>
    </w:p>
    <w:p>
      <w:pPr>
        <w:pStyle w:val="BodyText"/>
        <w:spacing w:before="5"/>
        <w:rPr>
          <w:rFonts w:ascii="Arial"/>
          <w:sz w:val="38"/>
        </w:rPr>
      </w:pPr>
    </w:p>
    <w:p>
      <w:pPr>
        <w:pStyle w:val="BodyText"/>
        <w:ind w:left="964" w:right="116" w:firstLine="2834"/>
        <w:jc w:val="both"/>
      </w:pPr>
      <w:r>
        <w:rPr/>
        <w:drawing>
          <wp:anchor distT="0" distB="0" distL="0" distR="0" allowOverlap="1" layoutInCell="1" locked="0" behindDoc="1" simplePos="0" relativeHeight="487547392">
            <wp:simplePos x="0" y="0"/>
            <wp:positionH relativeFrom="page">
              <wp:posOffset>1112519</wp:posOffset>
            </wp:positionH>
            <wp:positionV relativeFrom="paragraph">
              <wp:posOffset>466982</wp:posOffset>
            </wp:positionV>
            <wp:extent cx="5511800" cy="5514340"/>
            <wp:effectExtent l="0" t="0" r="0" b="0"/>
            <wp:wrapNone/>
            <wp:docPr id="5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1800" cy="5514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A prestação de serviço de transporte internacional é a</w:t>
      </w:r>
      <w:r>
        <w:rPr>
          <w:spacing w:val="1"/>
        </w:rPr>
        <w:t> </w:t>
      </w:r>
      <w:r>
        <w:rPr/>
        <w:t>única modalidade que se subsume à norma excludente de incidência transcrita</w:t>
      </w:r>
      <w:r>
        <w:rPr>
          <w:spacing w:val="1"/>
        </w:rPr>
        <w:t> </w:t>
      </w:r>
      <w:r>
        <w:rPr/>
        <w:t>anteriormente.</w:t>
      </w:r>
    </w:p>
    <w:p>
      <w:pPr>
        <w:pStyle w:val="BodyText"/>
      </w:pPr>
    </w:p>
    <w:p>
      <w:pPr>
        <w:pStyle w:val="BodyText"/>
        <w:ind w:left="964" w:right="116" w:firstLine="2834"/>
        <w:jc w:val="both"/>
      </w:pPr>
      <w:r>
        <w:rPr/>
        <w:t>Aquelas prestações de serviço que, embora vinculadas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operações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exportação</w:t>
      </w:r>
      <w:r>
        <w:rPr>
          <w:spacing w:val="1"/>
        </w:rPr>
        <w:t> </w:t>
      </w:r>
      <w:r>
        <w:rPr/>
        <w:t>(direta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fim</w:t>
      </w:r>
      <w:r>
        <w:rPr>
          <w:spacing w:val="1"/>
        </w:rPr>
        <w:t> </w:t>
      </w:r>
      <w:r>
        <w:rPr/>
        <w:t>específico),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iniciam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determinado município brasileiro e se destinam a outro, também, em território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são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intermunicipais</w:t>
      </w:r>
      <w:r>
        <w:rPr>
          <w:spacing w:val="1"/>
        </w:rPr>
        <w:t> </w:t>
      </w:r>
      <w:r>
        <w:rPr/>
        <w:t>ou</w:t>
      </w:r>
      <w:r>
        <w:rPr>
          <w:spacing w:val="1"/>
        </w:rPr>
        <w:t> </w:t>
      </w:r>
      <w:r>
        <w:rPr/>
        <w:t>interestaduais.</w:t>
      </w:r>
      <w:r>
        <w:rPr>
          <w:spacing w:val="1"/>
        </w:rPr>
        <w:t> </w:t>
      </w:r>
      <w:r>
        <w:rPr/>
        <w:t>Estas,</w:t>
      </w:r>
      <w:r>
        <w:rPr>
          <w:spacing w:val="1"/>
        </w:rPr>
        <w:t> </w:t>
      </w:r>
      <w:r>
        <w:rPr/>
        <w:t>evidentemente, estão sujeitas à</w:t>
      </w:r>
      <w:r>
        <w:rPr>
          <w:spacing w:val="-1"/>
        </w:rPr>
        <w:t> </w:t>
      </w:r>
      <w:r>
        <w:rPr/>
        <w:t>incidência do</w:t>
      </w:r>
      <w:r>
        <w:rPr>
          <w:spacing w:val="-1"/>
        </w:rPr>
        <w:t> </w:t>
      </w:r>
      <w:r>
        <w:rPr/>
        <w:t>gravame</w:t>
      </w:r>
      <w:r>
        <w:rPr>
          <w:spacing w:val="1"/>
        </w:rPr>
        <w:t> </w:t>
      </w:r>
      <w:r>
        <w:rPr/>
        <w:t>estadual.</w:t>
      </w:r>
    </w:p>
    <w:p>
      <w:pPr>
        <w:pStyle w:val="BodyText"/>
      </w:pPr>
    </w:p>
    <w:p>
      <w:pPr>
        <w:pStyle w:val="BodyText"/>
        <w:ind w:left="964" w:right="113" w:firstLine="2834"/>
        <w:jc w:val="both"/>
      </w:pPr>
      <w:r>
        <w:rPr/>
        <w:t>Delimitando-se de forma indelével o alcance da não</w:t>
      </w:r>
      <w:r>
        <w:rPr>
          <w:spacing w:val="1"/>
        </w:rPr>
        <w:t> </w:t>
      </w:r>
      <w:r>
        <w:rPr/>
        <w:t>incidência materializada pela Lei Complementar nº 87/96, não se pode escusar</w:t>
      </w:r>
      <w:r>
        <w:rPr>
          <w:spacing w:val="1"/>
        </w:rPr>
        <w:t> </w:t>
      </w:r>
      <w:r>
        <w:rPr/>
        <w:t>a tributação do ICMS, ressalvadas as hipóteses de isenção, das prestações de</w:t>
      </w:r>
      <w:r>
        <w:rPr>
          <w:spacing w:val="1"/>
        </w:rPr>
        <w:t> </w:t>
      </w:r>
      <w:r>
        <w:rPr/>
        <w:t>serviço de transporte que encaminham mercadorias até locais de embarque</w:t>
      </w:r>
      <w:r>
        <w:rPr>
          <w:spacing w:val="1"/>
        </w:rPr>
        <w:t> </w:t>
      </w:r>
      <w:r>
        <w:rPr/>
        <w:t>situados em território nacional, haja vista que seus efeitos são exauridos dentro</w:t>
      </w:r>
      <w:r>
        <w:rPr>
          <w:spacing w:val="-67"/>
        </w:rPr>
        <w:t> </w:t>
      </w:r>
      <w:r>
        <w:rPr/>
        <w:t>do país. A título de exemplo, a fim de elidir qualquer eventual dúvida, podemos</w:t>
      </w:r>
      <w:r>
        <w:rPr>
          <w:spacing w:val="1"/>
        </w:rPr>
        <w:t> </w:t>
      </w:r>
      <w:r>
        <w:rPr/>
        <w:t>ratificar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prestação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serviço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rodoviário,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mercadoria destinada ao exterior, de Porto Velho ao Porto de Santos (SP) é</w:t>
      </w:r>
      <w:r>
        <w:rPr>
          <w:spacing w:val="1"/>
        </w:rPr>
        <w:t> </w:t>
      </w:r>
      <w:r>
        <w:rPr/>
        <w:t>tributada.</w:t>
      </w:r>
      <w:r>
        <w:rPr>
          <w:spacing w:val="1"/>
        </w:rPr>
        <w:t> </w:t>
      </w:r>
      <w:r>
        <w:rPr/>
        <w:t>Também</w:t>
      </w:r>
      <w:r>
        <w:rPr>
          <w:spacing w:val="1"/>
        </w:rPr>
        <w:t> </w:t>
      </w:r>
      <w:r>
        <w:rPr/>
        <w:t>tributada</w:t>
      </w:r>
      <w:r>
        <w:rPr>
          <w:spacing w:val="1"/>
        </w:rPr>
        <w:t> </w:t>
      </w:r>
      <w:r>
        <w:rPr/>
        <w:t>pelo</w:t>
      </w:r>
      <w:r>
        <w:rPr>
          <w:spacing w:val="1"/>
        </w:rPr>
        <w:t> </w:t>
      </w:r>
      <w:r>
        <w:rPr/>
        <w:t>gravame</w:t>
      </w:r>
      <w:r>
        <w:rPr>
          <w:spacing w:val="1"/>
        </w:rPr>
        <w:t> </w:t>
      </w:r>
      <w:r>
        <w:rPr/>
        <w:t>estadual,</w:t>
      </w:r>
      <w:r>
        <w:rPr>
          <w:spacing w:val="1"/>
        </w:rPr>
        <w:t> </w:t>
      </w:r>
      <w:r>
        <w:rPr/>
        <w:t>à</w:t>
      </w:r>
      <w:r>
        <w:rPr>
          <w:spacing w:val="1"/>
        </w:rPr>
        <w:t> </w:t>
      </w:r>
      <w:r>
        <w:rPr/>
        <w:t>luz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mesmos</w:t>
      </w:r>
      <w:r>
        <w:rPr>
          <w:spacing w:val="1"/>
        </w:rPr>
        <w:t> </w:t>
      </w:r>
      <w:r>
        <w:rPr/>
        <w:t>argumentos, será a prestação de serviço que efetiva a remessa de mercadorias</w:t>
      </w:r>
      <w:r>
        <w:rPr>
          <w:spacing w:val="1"/>
        </w:rPr>
        <w:t> </w:t>
      </w:r>
      <w:r>
        <w:rPr/>
        <w:t>com fim</w:t>
      </w:r>
      <w:r>
        <w:rPr>
          <w:spacing w:val="-1"/>
        </w:rPr>
        <w:t> </w:t>
      </w:r>
      <w:r>
        <w:rPr/>
        <w:t>específico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exportação.</w:t>
      </w:r>
    </w:p>
    <w:p>
      <w:pPr>
        <w:pStyle w:val="BodyText"/>
        <w:spacing w:line="960" w:lineRule="atLeast" w:before="6"/>
        <w:ind w:left="3896" w:right="2525" w:hanging="98"/>
      </w:pPr>
      <w:r>
        <w:rPr/>
        <w:t>Porto</w:t>
      </w:r>
      <w:r>
        <w:rPr>
          <w:spacing w:val="-3"/>
        </w:rPr>
        <w:t> </w:t>
      </w:r>
      <w:r>
        <w:rPr/>
        <w:t>Velho,</w:t>
      </w:r>
      <w:r>
        <w:rPr>
          <w:spacing w:val="-3"/>
        </w:rPr>
        <w:t> </w:t>
      </w:r>
      <w:r>
        <w:rPr/>
        <w:t>02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julho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2002.</w:t>
      </w:r>
      <w:r>
        <w:rPr>
          <w:spacing w:val="-67"/>
        </w:rPr>
        <w:t> </w:t>
      </w:r>
      <w:r>
        <w:rPr/>
        <w:t>WAGNER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</w:p>
    <w:p>
      <w:pPr>
        <w:pStyle w:val="BodyText"/>
        <w:spacing w:before="6"/>
        <w:ind w:left="3208"/>
      </w:pPr>
      <w:r>
        <w:rPr/>
        <w:t>Coordenador</w:t>
      </w:r>
      <w:r>
        <w:rPr>
          <w:spacing w:val="-1"/>
        </w:rPr>
        <w:t> </w:t>
      </w:r>
      <w:r>
        <w:rPr/>
        <w:t>Geral da</w:t>
      </w:r>
      <w:r>
        <w:rPr>
          <w:spacing w:val="-2"/>
        </w:rPr>
        <w:t> </w:t>
      </w:r>
      <w:r>
        <w:rPr/>
        <w:t>Receita</w:t>
      </w:r>
      <w:r>
        <w:rPr>
          <w:spacing w:val="-3"/>
        </w:rPr>
        <w:t> </w:t>
      </w:r>
      <w:r>
        <w:rPr/>
        <w:t>Estadual</w:t>
      </w:r>
    </w:p>
    <w:sectPr>
      <w:pgSz w:w="11900" w:h="16840"/>
      <w:pgMar w:header="578" w:footer="0" w:top="2300" w:bottom="280" w:left="740" w:right="1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i w:val="0"/>
        <w:sz w:val="20"/>
      </w:rPr>
    </w:pPr>
    <w:r>
      <w:rPr/>
      <w:drawing>
        <wp:anchor distT="0" distB="0" distL="0" distR="0" allowOverlap="1" layoutInCell="1" locked="0" behindDoc="1" simplePos="0" relativeHeight="487546880">
          <wp:simplePos x="0" y="0"/>
          <wp:positionH relativeFrom="page">
            <wp:posOffset>3559455</wp:posOffset>
          </wp:positionH>
          <wp:positionV relativeFrom="page">
            <wp:posOffset>396377</wp:posOffset>
          </wp:positionV>
          <wp:extent cx="788942" cy="1064605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8942" cy="1064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0.700012pt;margin-top:27.888866pt;width:11pt;height:13.1pt;mso-position-horizontal-relative:page;mso-position-vertical-relative:page;z-index:-15769088" type="#_x0000_t202" filled="false" stroked="false">
          <v:textbox inset="0,0,0,0">
            <w:txbxContent>
              <w:p>
                <w:pPr>
                  <w:spacing w:before="11"/>
                  <w:ind w:left="6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3844" w:hanging="290"/>
        <w:jc w:val="left"/>
      </w:pPr>
      <w:rPr>
        <w:rFonts w:hint="default" w:ascii="Arial" w:hAnsi="Arial" w:eastAsia="Arial" w:cs="Arial"/>
        <w:i/>
        <w:iCs/>
        <w:w w:val="100"/>
        <w:sz w:val="28"/>
        <w:szCs w:val="2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4468" w:hanging="2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5096" w:hanging="2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5724" w:hanging="2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6352" w:hanging="2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6980" w:hanging="2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7608" w:hanging="2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8236" w:hanging="2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864" w:hanging="29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i/>
      <w:iCs/>
      <w:sz w:val="28"/>
      <w:szCs w:val="2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322" w:lineRule="exact"/>
      <w:ind w:left="2256" w:right="110"/>
      <w:jc w:val="center"/>
      <w:outlineLvl w:val="1"/>
    </w:pPr>
    <w:rPr>
      <w:rFonts w:ascii="Times New Roman" w:hAnsi="Times New Roman" w:eastAsia="Times New Roman" w:cs="Times New Roman"/>
      <w:b/>
      <w:bCs/>
      <w:i/>
      <w:iCs/>
      <w:sz w:val="28"/>
      <w:szCs w:val="2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20"/>
      <w:ind w:left="3844" w:right="116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2.png"/><Relationship Id="rId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Transporte.</dc:subject>
  <dc:title>PARECER NORMATIVO Nº 002 /2002/CRE/SEFIN</dc:title>
  <dcterms:created xsi:type="dcterms:W3CDTF">2024-08-19T14:22:06Z</dcterms:created>
  <dcterms:modified xsi:type="dcterms:W3CDTF">2024-08-19T14:22:06Z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2015-09-10T00:00:00Z</vt:filetime>
  </property>
  <property fmtid="{D5CDD505-2E9C-101B-9397-08002B2CF9AE}" pid="3" name="Creator">
    <vt:lpwstr>Writer</vt:lpwstr>
  </property>
  <property fmtid="{D5CDD505-2E9C-101B-9397-08002B2CF9AE}" pid="4" name="LastSaved">
    <vt:filetime>2015-09-10T00:00:00Z</vt:filetime>
  </property>
</Properties>
</file>