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C2" w:rsidRDefault="00BD79C2" w:rsidP="001544F1">
      <w:pPr>
        <w:pStyle w:val="Ttulo3"/>
        <w:tabs>
          <w:tab w:val="left" w:pos="567"/>
          <w:tab w:val="left" w:pos="5103"/>
          <w:tab w:val="left" w:pos="6120"/>
        </w:tabs>
        <w:ind w:firstLine="0"/>
        <w:jc w:val="center"/>
        <w:rPr>
          <w:rFonts w:asciiTheme="minorHAnsi" w:hAnsiTheme="minorHAnsi" w:cstheme="minorHAnsi"/>
        </w:rPr>
      </w:pPr>
      <w:r w:rsidRPr="00315654">
        <w:rPr>
          <w:rFonts w:asciiTheme="minorHAnsi" w:hAnsiTheme="minorHAnsi" w:cstheme="minorHAnsi"/>
        </w:rPr>
        <w:t>RETIFICAÇÃO</w:t>
      </w:r>
    </w:p>
    <w:p w:rsidR="00470E7F" w:rsidRPr="00470E7F" w:rsidRDefault="00470E7F" w:rsidP="00470E7F">
      <w:pPr>
        <w:jc w:val="center"/>
        <w:rPr>
          <w:rFonts w:asciiTheme="minorHAnsi" w:hAnsiTheme="minorHAnsi" w:cstheme="minorHAnsi"/>
          <w:b/>
        </w:rPr>
      </w:pPr>
      <w:r w:rsidRPr="00470E7F">
        <w:rPr>
          <w:rFonts w:asciiTheme="minorHAnsi" w:hAnsiTheme="minorHAnsi" w:cstheme="minorHAnsi"/>
          <w:b/>
        </w:rPr>
        <w:t>PUBLICADA NO DOE Nº 042, DE 07.03.19</w:t>
      </w:r>
    </w:p>
    <w:p w:rsidR="00BD79C2" w:rsidRPr="00315654" w:rsidRDefault="00BD79C2" w:rsidP="00BD79C2">
      <w:pPr>
        <w:tabs>
          <w:tab w:val="left" w:pos="567"/>
          <w:tab w:val="left" w:pos="5103"/>
        </w:tabs>
        <w:ind w:firstLine="495"/>
        <w:jc w:val="both"/>
        <w:rPr>
          <w:rFonts w:asciiTheme="minorHAnsi" w:hAnsiTheme="minorHAnsi" w:cstheme="minorHAnsi"/>
          <w:sz w:val="14"/>
        </w:rPr>
      </w:pPr>
    </w:p>
    <w:p w:rsidR="00BD79C2" w:rsidRPr="00315654" w:rsidRDefault="00BD79C2" w:rsidP="00315654">
      <w:pPr>
        <w:tabs>
          <w:tab w:val="left" w:pos="567"/>
          <w:tab w:val="left" w:pos="5103"/>
        </w:tabs>
        <w:jc w:val="both"/>
        <w:rPr>
          <w:rFonts w:asciiTheme="minorHAnsi" w:hAnsiTheme="minorHAnsi" w:cstheme="minorHAnsi"/>
        </w:rPr>
      </w:pPr>
      <w:r w:rsidRPr="00315654">
        <w:rPr>
          <w:rFonts w:asciiTheme="minorHAnsi" w:hAnsiTheme="minorHAnsi" w:cstheme="minorHAnsi"/>
        </w:rPr>
        <w:t xml:space="preserve">Na Instrução Normativa n. 04, de 19 de fevereiro de 2019, publicado no Diário Oficial do Estado n. </w:t>
      </w:r>
      <w:r w:rsidR="00F72B96" w:rsidRPr="00315654">
        <w:rPr>
          <w:rFonts w:asciiTheme="minorHAnsi" w:hAnsiTheme="minorHAnsi" w:cstheme="minorHAnsi"/>
        </w:rPr>
        <w:t>036</w:t>
      </w:r>
      <w:r w:rsidRPr="00315654">
        <w:rPr>
          <w:rFonts w:asciiTheme="minorHAnsi" w:hAnsiTheme="minorHAnsi" w:cstheme="minorHAnsi"/>
        </w:rPr>
        <w:t xml:space="preserve">, de </w:t>
      </w:r>
      <w:r w:rsidR="00315654" w:rsidRPr="00315654">
        <w:rPr>
          <w:rFonts w:asciiTheme="minorHAnsi" w:hAnsiTheme="minorHAnsi" w:cstheme="minorHAnsi"/>
        </w:rPr>
        <w:t>22</w:t>
      </w:r>
      <w:r w:rsidRPr="00315654">
        <w:rPr>
          <w:rFonts w:asciiTheme="minorHAnsi" w:hAnsiTheme="minorHAnsi" w:cstheme="minorHAnsi"/>
        </w:rPr>
        <w:t xml:space="preserve"> de </w:t>
      </w:r>
      <w:r w:rsidR="00315654" w:rsidRPr="00315654">
        <w:rPr>
          <w:rFonts w:asciiTheme="minorHAnsi" w:hAnsiTheme="minorHAnsi" w:cstheme="minorHAnsi"/>
        </w:rPr>
        <w:t>fevereiro</w:t>
      </w:r>
      <w:r w:rsidRPr="00315654">
        <w:rPr>
          <w:rFonts w:asciiTheme="minorHAnsi" w:hAnsiTheme="minorHAnsi" w:cstheme="minorHAnsi"/>
        </w:rPr>
        <w:t xml:space="preserve"> de 201</w:t>
      </w:r>
      <w:r w:rsidR="00315654" w:rsidRPr="00315654">
        <w:rPr>
          <w:rFonts w:asciiTheme="minorHAnsi" w:hAnsiTheme="minorHAnsi" w:cstheme="minorHAnsi"/>
        </w:rPr>
        <w:t>9</w:t>
      </w:r>
      <w:r w:rsidRPr="00315654">
        <w:rPr>
          <w:rFonts w:asciiTheme="minorHAnsi" w:hAnsiTheme="minorHAnsi" w:cstheme="minorHAnsi"/>
        </w:rPr>
        <w:t>, que “</w:t>
      </w:r>
      <w:r w:rsidR="00315654" w:rsidRPr="00315654">
        <w:rPr>
          <w:rFonts w:asciiTheme="minorHAnsi" w:hAnsiTheme="minorHAnsi" w:cstheme="minorHAnsi"/>
        </w:rPr>
        <w:t>altera dispositivo da Instrução Normativa adiante enumerada, que versa acerca da Pauta Fiscal e o Boletim de Preços de mercadorias e produtos</w:t>
      </w:r>
      <w:r w:rsidRPr="00315654">
        <w:rPr>
          <w:rFonts w:asciiTheme="minorHAnsi" w:hAnsiTheme="minorHAnsi" w:cstheme="minorHAnsi"/>
        </w:rPr>
        <w:t>”.</w:t>
      </w:r>
    </w:p>
    <w:p w:rsidR="00BD79C2" w:rsidRPr="00315654" w:rsidRDefault="00BD79C2" w:rsidP="00315654">
      <w:pPr>
        <w:tabs>
          <w:tab w:val="left" w:pos="567"/>
          <w:tab w:val="left" w:pos="5103"/>
        </w:tabs>
        <w:jc w:val="both"/>
        <w:rPr>
          <w:rFonts w:asciiTheme="minorHAnsi" w:hAnsiTheme="minorHAnsi" w:cstheme="minorHAnsi"/>
        </w:rPr>
      </w:pPr>
    </w:p>
    <w:p w:rsidR="00BD79C2" w:rsidRPr="00315654" w:rsidRDefault="00BD79C2" w:rsidP="00315654">
      <w:pPr>
        <w:tabs>
          <w:tab w:val="left" w:pos="567"/>
          <w:tab w:val="left" w:pos="5103"/>
        </w:tabs>
        <w:jc w:val="both"/>
        <w:rPr>
          <w:rFonts w:asciiTheme="minorHAnsi" w:hAnsiTheme="minorHAnsi" w:cstheme="minorHAnsi"/>
          <w:sz w:val="8"/>
        </w:rPr>
      </w:pPr>
    </w:p>
    <w:p w:rsidR="00BD79C2" w:rsidRPr="00315654" w:rsidRDefault="00BD79C2" w:rsidP="00315654">
      <w:pPr>
        <w:tabs>
          <w:tab w:val="left" w:pos="567"/>
          <w:tab w:val="left" w:pos="5103"/>
        </w:tabs>
        <w:jc w:val="both"/>
        <w:rPr>
          <w:rFonts w:asciiTheme="minorHAnsi" w:hAnsiTheme="minorHAnsi" w:cstheme="minorHAnsi"/>
          <w:sz w:val="10"/>
        </w:rPr>
      </w:pPr>
    </w:p>
    <w:p w:rsidR="00BD79C2" w:rsidRPr="00315654" w:rsidRDefault="00BD79C2" w:rsidP="00315654">
      <w:pPr>
        <w:tabs>
          <w:tab w:val="left" w:pos="567"/>
          <w:tab w:val="left" w:pos="5103"/>
        </w:tabs>
        <w:jc w:val="both"/>
        <w:rPr>
          <w:rFonts w:asciiTheme="minorHAnsi" w:hAnsiTheme="minorHAnsi" w:cstheme="minorHAnsi"/>
          <w:b/>
        </w:rPr>
      </w:pPr>
      <w:r w:rsidRPr="00315654">
        <w:rPr>
          <w:rFonts w:asciiTheme="minorHAnsi" w:hAnsiTheme="minorHAnsi" w:cstheme="minorHAnsi"/>
          <w:b/>
        </w:rPr>
        <w:t>ONDE SE LÊ:</w:t>
      </w:r>
    </w:p>
    <w:p w:rsidR="000C0C90" w:rsidRPr="00315654" w:rsidRDefault="00470E7F" w:rsidP="00315654">
      <w:pPr>
        <w:rPr>
          <w:rFonts w:asciiTheme="minorHAnsi" w:hAnsiTheme="minorHAnsi" w:cstheme="minorHAnsi"/>
        </w:rPr>
      </w:pPr>
    </w:p>
    <w:p w:rsidR="00315654" w:rsidRDefault="00315654" w:rsidP="00315654">
      <w:pPr>
        <w:jc w:val="both"/>
        <w:rPr>
          <w:rFonts w:asciiTheme="minorHAnsi" w:hAnsiTheme="minorHAnsi" w:cstheme="minorHAnsi"/>
        </w:rPr>
      </w:pPr>
      <w:r w:rsidRPr="00315654">
        <w:rPr>
          <w:rFonts w:asciiTheme="minorHAnsi" w:hAnsiTheme="minorHAnsi" w:cstheme="minorHAnsi"/>
        </w:rPr>
        <w:t xml:space="preserve">“Art. 11. O preço </w:t>
      </w:r>
      <w:proofErr w:type="spellStart"/>
      <w:r w:rsidRPr="00315654">
        <w:rPr>
          <w:rFonts w:asciiTheme="minorHAnsi" w:hAnsiTheme="minorHAnsi" w:cstheme="minorHAnsi"/>
        </w:rPr>
        <w:t>a</w:t>
      </w:r>
      <w:proofErr w:type="spellEnd"/>
      <w:r w:rsidRPr="00315654">
        <w:rPr>
          <w:rFonts w:asciiTheme="minorHAnsi" w:hAnsiTheme="minorHAnsi" w:cstheme="minorHAnsi"/>
        </w:rPr>
        <w:t xml:space="preserve"> consumidor final que servirá de base de cálculo do ICMS devido por substituição tributária, nas operações com água mineral, bebidas isotônicas e bebidas energéticas, será:” (NR);</w:t>
      </w:r>
    </w:p>
    <w:p w:rsidR="00315654" w:rsidRDefault="00315654" w:rsidP="00315654">
      <w:pPr>
        <w:jc w:val="both"/>
        <w:rPr>
          <w:rFonts w:asciiTheme="minorHAnsi" w:hAnsiTheme="minorHAnsi" w:cstheme="minorHAnsi"/>
        </w:rPr>
      </w:pPr>
    </w:p>
    <w:p w:rsidR="00315654" w:rsidRPr="00470E7F" w:rsidRDefault="00315654" w:rsidP="00315654">
      <w:pPr>
        <w:jc w:val="both"/>
        <w:rPr>
          <w:rFonts w:ascii="Calibri" w:hAnsi="Calibri" w:cs="Calibri"/>
          <w:b/>
        </w:rPr>
      </w:pPr>
      <w:r w:rsidRPr="00470E7F">
        <w:rPr>
          <w:rFonts w:ascii="Calibri" w:hAnsi="Calibri" w:cs="Calibri"/>
          <w:b/>
        </w:rPr>
        <w:t>LE</w:t>
      </w:r>
      <w:bookmarkStart w:id="0" w:name="_GoBack"/>
      <w:bookmarkEnd w:id="0"/>
      <w:r w:rsidRPr="00470E7F">
        <w:rPr>
          <w:rFonts w:ascii="Calibri" w:hAnsi="Calibri" w:cs="Calibri"/>
          <w:b/>
        </w:rPr>
        <w:t>IA-SE:</w:t>
      </w:r>
    </w:p>
    <w:p w:rsidR="001544F1" w:rsidRDefault="001544F1" w:rsidP="00315654">
      <w:pPr>
        <w:jc w:val="both"/>
        <w:rPr>
          <w:b/>
        </w:rPr>
      </w:pPr>
    </w:p>
    <w:p w:rsidR="001544F1" w:rsidRDefault="001544F1" w:rsidP="00315654">
      <w:pPr>
        <w:jc w:val="both"/>
        <w:rPr>
          <w:rFonts w:asciiTheme="minorHAnsi" w:hAnsiTheme="minorHAnsi" w:cstheme="minorHAnsi"/>
        </w:rPr>
      </w:pPr>
      <w:r w:rsidRPr="001544F1">
        <w:rPr>
          <w:rFonts w:asciiTheme="minorHAnsi" w:hAnsiTheme="minorHAnsi" w:cstheme="minorHAnsi"/>
        </w:rPr>
        <w:t xml:space="preserve">“Art. 11. O preço </w:t>
      </w:r>
      <w:proofErr w:type="spellStart"/>
      <w:r w:rsidRPr="001544F1">
        <w:rPr>
          <w:rFonts w:asciiTheme="minorHAnsi" w:hAnsiTheme="minorHAnsi" w:cstheme="minorHAnsi"/>
        </w:rPr>
        <w:t>a</w:t>
      </w:r>
      <w:proofErr w:type="spellEnd"/>
      <w:r w:rsidRPr="001544F1">
        <w:rPr>
          <w:rFonts w:asciiTheme="minorHAnsi" w:hAnsiTheme="minorHAnsi" w:cstheme="minorHAnsi"/>
        </w:rPr>
        <w:t xml:space="preserve"> consumidor final que servirá de base de cálculo do ICMS devido por substituição tributária, nas operações com cerveja, chope, refrigerante, água mineral, bebidas isotônicas e bebidas energéticas, será:” (NR);</w:t>
      </w:r>
    </w:p>
    <w:p w:rsidR="001544F1" w:rsidRDefault="001544F1" w:rsidP="00315654">
      <w:pPr>
        <w:jc w:val="both"/>
        <w:rPr>
          <w:rFonts w:asciiTheme="minorHAnsi" w:hAnsiTheme="minorHAnsi" w:cstheme="minorHAnsi"/>
        </w:rPr>
      </w:pPr>
    </w:p>
    <w:p w:rsidR="001544F1" w:rsidRDefault="001544F1" w:rsidP="00315654">
      <w:pPr>
        <w:jc w:val="both"/>
        <w:rPr>
          <w:rFonts w:asciiTheme="minorHAnsi" w:hAnsiTheme="minorHAnsi" w:cstheme="minorHAnsi"/>
        </w:rPr>
      </w:pPr>
    </w:p>
    <w:p w:rsidR="001544F1" w:rsidRDefault="001544F1" w:rsidP="001544F1">
      <w:pPr>
        <w:tabs>
          <w:tab w:val="left" w:pos="6120"/>
        </w:tabs>
        <w:jc w:val="center"/>
        <w:rPr>
          <w:rFonts w:cs="Calibri"/>
          <w:bCs/>
        </w:rPr>
      </w:pPr>
    </w:p>
    <w:p w:rsidR="001544F1" w:rsidRDefault="001544F1" w:rsidP="001544F1">
      <w:pPr>
        <w:tabs>
          <w:tab w:val="left" w:pos="6120"/>
        </w:tabs>
        <w:jc w:val="center"/>
        <w:rPr>
          <w:rFonts w:cs="Calibri"/>
          <w:bCs/>
        </w:rPr>
      </w:pPr>
    </w:p>
    <w:p w:rsidR="001544F1" w:rsidRPr="0096295A" w:rsidRDefault="001544F1" w:rsidP="001544F1">
      <w:pPr>
        <w:tabs>
          <w:tab w:val="left" w:pos="6120"/>
        </w:tabs>
        <w:jc w:val="center"/>
        <w:rPr>
          <w:rFonts w:ascii="Calibri" w:hAnsi="Calibri" w:cs="Calibri"/>
          <w:bCs/>
        </w:rPr>
      </w:pPr>
      <w:r w:rsidRPr="0096295A">
        <w:rPr>
          <w:rFonts w:ascii="Calibri" w:hAnsi="Calibri" w:cs="Calibri"/>
          <w:bCs/>
        </w:rPr>
        <w:t>ANTÔNIO CARLOS ALENCAR DO NASCIMENTO</w:t>
      </w:r>
    </w:p>
    <w:p w:rsidR="001544F1" w:rsidRPr="0096295A" w:rsidRDefault="001544F1" w:rsidP="001544F1">
      <w:pPr>
        <w:tabs>
          <w:tab w:val="left" w:pos="6120"/>
        </w:tabs>
        <w:jc w:val="center"/>
        <w:rPr>
          <w:rFonts w:ascii="Calibri" w:hAnsi="Calibri" w:cs="Calibri"/>
          <w:bCs/>
        </w:rPr>
      </w:pPr>
      <w:r w:rsidRPr="0096295A">
        <w:rPr>
          <w:rFonts w:ascii="Calibri" w:hAnsi="Calibri" w:cs="Calibri"/>
          <w:bCs/>
        </w:rPr>
        <w:t>Coordenador Geral da Receita Estadual</w:t>
      </w:r>
    </w:p>
    <w:p w:rsidR="001544F1" w:rsidRPr="0021541E" w:rsidRDefault="001544F1" w:rsidP="001544F1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1544F1" w:rsidRPr="00315654" w:rsidRDefault="001544F1" w:rsidP="00315654">
      <w:pPr>
        <w:jc w:val="both"/>
        <w:rPr>
          <w:rFonts w:asciiTheme="minorHAnsi" w:hAnsiTheme="minorHAnsi" w:cstheme="minorHAnsi"/>
        </w:rPr>
      </w:pPr>
    </w:p>
    <w:sectPr w:rsidR="001544F1" w:rsidRPr="00315654" w:rsidSect="00DC45B3">
      <w:headerReference w:type="default" r:id="rId6"/>
      <w:pgSz w:w="11906" w:h="16838"/>
      <w:pgMar w:top="1134" w:right="851" w:bottom="1134" w:left="1701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96" w:rsidRDefault="00F72B96" w:rsidP="00F72B96">
      <w:r>
        <w:separator/>
      </w:r>
    </w:p>
  </w:endnote>
  <w:endnote w:type="continuationSeparator" w:id="0">
    <w:p w:rsidR="00F72B96" w:rsidRDefault="00F72B96" w:rsidP="00F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96" w:rsidRDefault="00F72B96" w:rsidP="00F72B96">
      <w:r>
        <w:separator/>
      </w:r>
    </w:p>
  </w:footnote>
  <w:footnote w:type="continuationSeparator" w:id="0">
    <w:p w:rsidR="00F72B96" w:rsidRDefault="00F72B96" w:rsidP="00F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54" w:rsidRPr="0096295A" w:rsidRDefault="00315654" w:rsidP="00315654">
    <w:pPr>
      <w:pStyle w:val="Cabealho"/>
      <w:jc w:val="center"/>
      <w:rPr>
        <w:rFonts w:ascii="Calibri" w:hAnsi="Calibri" w:cs="Calibri"/>
      </w:rPr>
    </w:pPr>
    <w:r w:rsidRPr="0096295A">
      <w:rPr>
        <w:rFonts w:ascii="Calibri" w:hAnsi="Calibri" w:cs="Calibri"/>
        <w:noProof/>
      </w:rPr>
      <w:drawing>
        <wp:inline distT="0" distB="0" distL="0" distR="0">
          <wp:extent cx="66675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654" w:rsidRPr="0096295A" w:rsidRDefault="00315654" w:rsidP="00315654">
    <w:pPr>
      <w:pStyle w:val="Cabealho"/>
      <w:jc w:val="center"/>
      <w:rPr>
        <w:rFonts w:ascii="Calibri" w:hAnsi="Calibri" w:cs="Calibri"/>
      </w:rPr>
    </w:pPr>
  </w:p>
  <w:p w:rsidR="00315654" w:rsidRPr="0096295A" w:rsidRDefault="00315654" w:rsidP="00315654">
    <w:pPr>
      <w:autoSpaceDE w:val="0"/>
      <w:autoSpaceDN w:val="0"/>
      <w:adjustRightInd w:val="0"/>
      <w:jc w:val="center"/>
      <w:rPr>
        <w:rFonts w:ascii="Calibri" w:hAnsi="Calibri" w:cs="Calibri"/>
        <w:b/>
        <w:bCs/>
      </w:rPr>
    </w:pPr>
    <w:r w:rsidRPr="0096295A">
      <w:rPr>
        <w:rFonts w:ascii="Calibri" w:hAnsi="Calibri" w:cs="Calibri"/>
        <w:b/>
        <w:bCs/>
      </w:rPr>
      <w:t>GOVERNO DO ESTADO DE RONDÔNIA</w:t>
    </w:r>
  </w:p>
  <w:p w:rsidR="00315654" w:rsidRPr="0096295A" w:rsidRDefault="00315654" w:rsidP="00315654">
    <w:pPr>
      <w:autoSpaceDE w:val="0"/>
      <w:autoSpaceDN w:val="0"/>
      <w:adjustRightInd w:val="0"/>
      <w:jc w:val="center"/>
      <w:rPr>
        <w:rFonts w:ascii="Calibri" w:hAnsi="Calibri" w:cs="Calibri"/>
        <w:b/>
        <w:bCs/>
      </w:rPr>
    </w:pPr>
    <w:r w:rsidRPr="0096295A">
      <w:rPr>
        <w:rFonts w:ascii="Calibri" w:hAnsi="Calibri" w:cs="Calibri"/>
        <w:b/>
        <w:bCs/>
      </w:rPr>
      <w:t>SECRETARIA DE ESTADO DE FINANÇAS</w:t>
    </w:r>
  </w:p>
  <w:p w:rsidR="00315654" w:rsidRDefault="003156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C2"/>
    <w:rsid w:val="001544F1"/>
    <w:rsid w:val="00156E42"/>
    <w:rsid w:val="00315654"/>
    <w:rsid w:val="0036685D"/>
    <w:rsid w:val="00470E7F"/>
    <w:rsid w:val="005218DE"/>
    <w:rsid w:val="005C6691"/>
    <w:rsid w:val="006262D9"/>
    <w:rsid w:val="0096295A"/>
    <w:rsid w:val="00BD79C2"/>
    <w:rsid w:val="00DC45B3"/>
    <w:rsid w:val="00EC6167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EE82"/>
  <w15:chartTrackingRefBased/>
  <w15:docId w15:val="{4C98F628-3CF2-419F-B961-3177A78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C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D79C2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D79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F72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2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72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</dc:title>
  <dc:subject>ERRATA IN Nº 04, DE 19 DE FEVEREIRO DE 2019</dc:subject>
  <dc:creator>Camilla Jessica da silva Barroso</dc:creator>
  <cp:keywords/>
  <dc:description/>
  <cp:lastModifiedBy>Mariana Cavalcante Maciel</cp:lastModifiedBy>
  <cp:revision>3</cp:revision>
  <dcterms:created xsi:type="dcterms:W3CDTF">2019-02-25T16:21:00Z</dcterms:created>
  <dcterms:modified xsi:type="dcterms:W3CDTF">2019-03-07T17:03:00Z</dcterms:modified>
</cp:coreProperties>
</file>