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62A6467" w14:textId="210FBC4A" w:rsidR="00BC1342" w:rsidRPr="00BC1342" w:rsidRDefault="00BC1342" w:rsidP="00BC1342">
      <w:pPr>
        <w:spacing w:after="0" w:line="240" w:lineRule="auto"/>
        <w:jc w:val="both"/>
        <w:rPr>
          <w:rFonts w:eastAsia="Times New Roman" w:cstheme="minorHAnsi"/>
          <w:color w:val="FF0000"/>
          <w:sz w:val="20"/>
          <w:szCs w:val="20"/>
          <w:lang w:eastAsia="pt-BR"/>
        </w:rPr>
      </w:pPr>
      <w:r>
        <w:rPr>
          <w:rFonts w:eastAsia="Times New Roman" w:cstheme="minorHAnsi"/>
          <w:color w:val="FF0000"/>
          <w:sz w:val="20"/>
          <w:szCs w:val="20"/>
          <w:lang w:eastAsia="pt-BR"/>
        </w:rPr>
        <w:t xml:space="preserve">* </w:t>
      </w:r>
      <w:r w:rsidRPr="00BC1342">
        <w:rPr>
          <w:rFonts w:eastAsia="Times New Roman" w:cstheme="minorHAnsi"/>
          <w:color w:val="FF0000"/>
          <w:sz w:val="20"/>
          <w:szCs w:val="20"/>
          <w:lang w:eastAsia="pt-BR"/>
        </w:rPr>
        <w:t>Este texto não substitui o publicado no DOE.</w:t>
      </w:r>
    </w:p>
    <w:p w14:paraId="30052F82" w14:textId="77777777" w:rsidR="00BC1342" w:rsidRPr="00BC1342" w:rsidRDefault="00BC1342" w:rsidP="00BC1342">
      <w:pPr>
        <w:pStyle w:val="PargrafodaLista"/>
        <w:spacing w:after="0" w:line="240" w:lineRule="auto"/>
        <w:jc w:val="both"/>
        <w:rPr>
          <w:rFonts w:eastAsia="Times New Roman" w:cstheme="minorHAnsi"/>
          <w:color w:val="000000"/>
          <w:sz w:val="20"/>
          <w:szCs w:val="20"/>
          <w:lang w:eastAsia="pt-BR"/>
        </w:rPr>
      </w:pPr>
    </w:p>
    <w:p w14:paraId="0D806645" w14:textId="408695B7" w:rsidR="005E06F3" w:rsidRPr="005E06F3" w:rsidRDefault="00292B32" w:rsidP="005E06F3">
      <w:pPr>
        <w:spacing w:after="0" w:line="240" w:lineRule="auto"/>
        <w:jc w:val="both"/>
        <w:rPr>
          <w:rFonts w:eastAsia="Times New Roman" w:cstheme="minorHAnsi"/>
          <w:color w:val="000000"/>
          <w:sz w:val="20"/>
          <w:szCs w:val="20"/>
          <w:lang w:eastAsia="pt-BR"/>
        </w:rPr>
      </w:pPr>
      <w:r w:rsidRPr="00292B32">
        <w:rPr>
          <w:rFonts w:eastAsia="Times New Roman" w:cstheme="minorHAnsi"/>
          <w:color w:val="000000"/>
          <w:sz w:val="20"/>
          <w:szCs w:val="20"/>
          <w:lang w:eastAsia="pt-BR"/>
        </w:rPr>
        <w:t>Diário Oficial do Estado de Rondônia nº 205</w:t>
      </w:r>
    </w:p>
    <w:p w14:paraId="33C83059" w14:textId="168BD53E" w:rsidR="005E06F3" w:rsidRPr="005E06F3" w:rsidRDefault="00292B32" w:rsidP="005E06F3">
      <w:pPr>
        <w:spacing w:after="0" w:line="240" w:lineRule="auto"/>
        <w:jc w:val="both"/>
        <w:rPr>
          <w:rFonts w:eastAsia="Times New Roman" w:cstheme="minorHAnsi"/>
          <w:color w:val="000000"/>
          <w:sz w:val="20"/>
          <w:szCs w:val="20"/>
          <w:lang w:eastAsia="pt-BR"/>
        </w:rPr>
      </w:pPr>
      <w:r w:rsidRPr="00292B32">
        <w:rPr>
          <w:rFonts w:eastAsia="Times New Roman" w:cstheme="minorHAnsi"/>
          <w:color w:val="000000"/>
          <w:sz w:val="20"/>
          <w:szCs w:val="20"/>
          <w:lang w:eastAsia="pt-BR"/>
        </w:rPr>
        <w:t>Disponibilização: 25/10/2022</w:t>
      </w:r>
    </w:p>
    <w:p w14:paraId="4942ED7A" w14:textId="41DF6F93" w:rsidR="00292B32" w:rsidRPr="00292B32" w:rsidRDefault="00292B32" w:rsidP="005E06F3">
      <w:pPr>
        <w:spacing w:after="0" w:line="240" w:lineRule="auto"/>
        <w:jc w:val="both"/>
        <w:rPr>
          <w:rFonts w:eastAsia="Times New Roman" w:cstheme="minorHAnsi"/>
          <w:color w:val="000000"/>
          <w:sz w:val="20"/>
          <w:szCs w:val="20"/>
          <w:lang w:eastAsia="pt-BR"/>
        </w:rPr>
      </w:pPr>
      <w:r w:rsidRPr="00292B32">
        <w:rPr>
          <w:rFonts w:eastAsia="Times New Roman" w:cstheme="minorHAnsi"/>
          <w:color w:val="000000"/>
          <w:sz w:val="20"/>
          <w:szCs w:val="20"/>
          <w:lang w:eastAsia="pt-BR"/>
        </w:rPr>
        <w:t>Publicação: 25/10/2022</w:t>
      </w:r>
    </w:p>
    <w:p w14:paraId="279D3218" w14:textId="55CC488F" w:rsidR="00292B32" w:rsidRPr="00292B32" w:rsidRDefault="006829CD" w:rsidP="005E06F3">
      <w:pPr>
        <w:spacing w:after="0" w:line="240" w:lineRule="auto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>
        <w:rPr>
          <w:noProof/>
        </w:rPr>
        <w:drawing>
          <wp:inline distT="0" distB="0" distL="0" distR="0" wp14:anchorId="69471410" wp14:editId="58796069">
            <wp:extent cx="1160890" cy="893053"/>
            <wp:effectExtent l="0" t="0" r="0" b="2540"/>
            <wp:docPr id="3" name="Imagem 3" descr="Imagem digital fictícia de personagem de desenho animado&#10;&#10;Descrição gerada automaticamente com confiança baix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Imagem 3" descr="Imagem digital fictícia de personagem de desenho animado&#10;&#10;Descrição gerada automaticamente com confiança baixa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61206" cy="89329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4979537" w14:textId="77777777" w:rsidR="00292B32" w:rsidRPr="00292B32" w:rsidRDefault="00292B32" w:rsidP="005E06F3">
      <w:pPr>
        <w:spacing w:after="0" w:line="240" w:lineRule="auto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292B32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70D17A44" w14:textId="77777777" w:rsidR="005E06F3" w:rsidRDefault="00292B32" w:rsidP="005E06F3">
      <w:pPr>
        <w:spacing w:after="0" w:line="240" w:lineRule="auto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292B32">
        <w:rPr>
          <w:rFonts w:eastAsia="Times New Roman" w:cstheme="minorHAnsi"/>
          <w:color w:val="000000"/>
          <w:sz w:val="24"/>
          <w:szCs w:val="24"/>
          <w:lang w:eastAsia="pt-BR"/>
        </w:rPr>
        <w:t>GOVERNO DO ESTADO DE RONDÔNIA</w:t>
      </w:r>
    </w:p>
    <w:p w14:paraId="5644384B" w14:textId="1EB80D97" w:rsidR="00292B32" w:rsidRDefault="00292B32" w:rsidP="005E06F3">
      <w:pPr>
        <w:spacing w:after="0" w:line="240" w:lineRule="auto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292B32">
        <w:rPr>
          <w:rFonts w:eastAsia="Times New Roman" w:cstheme="minorHAnsi"/>
          <w:color w:val="000000"/>
          <w:sz w:val="24"/>
          <w:szCs w:val="24"/>
          <w:lang w:eastAsia="pt-BR"/>
        </w:rPr>
        <w:t xml:space="preserve">Secretaria de Estado de Finanças </w:t>
      </w:r>
      <w:r w:rsidR="007C3B98">
        <w:rPr>
          <w:rFonts w:eastAsia="Times New Roman" w:cstheme="minorHAnsi"/>
          <w:color w:val="000000"/>
          <w:sz w:val="24"/>
          <w:szCs w:val="24"/>
          <w:lang w:eastAsia="pt-BR"/>
        </w:rPr>
        <w:t>–</w:t>
      </w:r>
      <w:r w:rsidRPr="00292B32">
        <w:rPr>
          <w:rFonts w:eastAsia="Times New Roman" w:cstheme="minorHAnsi"/>
          <w:color w:val="000000"/>
          <w:sz w:val="24"/>
          <w:szCs w:val="24"/>
          <w:lang w:eastAsia="pt-BR"/>
        </w:rPr>
        <w:t xml:space="preserve"> SEFIN</w:t>
      </w:r>
    </w:p>
    <w:p w14:paraId="55B8D6AB" w14:textId="77777777" w:rsidR="007C3B98" w:rsidRPr="00292B32" w:rsidRDefault="007C3B98" w:rsidP="005E06F3">
      <w:pPr>
        <w:spacing w:after="0" w:line="240" w:lineRule="auto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</w:p>
    <w:p w14:paraId="5DE7B8D1" w14:textId="77777777" w:rsidR="007C3B98" w:rsidRDefault="00292B32" w:rsidP="007C3B98">
      <w:pPr>
        <w:spacing w:before="100" w:beforeAutospacing="1" w:after="100" w:afterAutospacing="1" w:line="240" w:lineRule="auto"/>
        <w:jc w:val="center"/>
        <w:rPr>
          <w:rFonts w:eastAsia="Times New Roman" w:cstheme="minorHAnsi"/>
          <w:b/>
          <w:bCs/>
          <w:caps/>
          <w:color w:val="000000"/>
          <w:sz w:val="24"/>
          <w:szCs w:val="24"/>
          <w:lang w:eastAsia="pt-BR"/>
        </w:rPr>
      </w:pPr>
      <w:r w:rsidRPr="00292B32">
        <w:rPr>
          <w:rFonts w:eastAsia="Times New Roman" w:cstheme="minorHAnsi"/>
          <w:b/>
          <w:bCs/>
          <w:caps/>
          <w:color w:val="000000"/>
          <w:sz w:val="24"/>
          <w:szCs w:val="24"/>
          <w:lang w:eastAsia="pt-BR"/>
        </w:rPr>
        <w:t>ERRATA</w:t>
      </w:r>
    </w:p>
    <w:p w14:paraId="67E63648" w14:textId="38EFADB5" w:rsidR="00292B32" w:rsidRPr="00292B32" w:rsidRDefault="00292B32" w:rsidP="007C3B98">
      <w:pPr>
        <w:spacing w:before="100" w:beforeAutospacing="1" w:after="100" w:afterAutospacing="1" w:line="240" w:lineRule="auto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292B32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Instrução Normativa nº 69/2022/GAB/CRE</w:t>
      </w:r>
      <w:r w:rsidRPr="00292B32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4A2EF313" w14:textId="30CB8F28" w:rsidR="00292B32" w:rsidRPr="00292B32" w:rsidRDefault="00292B32" w:rsidP="005E06F3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292B32">
        <w:rPr>
          <w:rFonts w:eastAsia="Times New Roman" w:cstheme="minorHAnsi"/>
          <w:color w:val="000000"/>
          <w:sz w:val="24"/>
          <w:szCs w:val="24"/>
          <w:lang w:eastAsia="pt-BR"/>
        </w:rPr>
        <w:t> Na Instrução Normativa nº 069/2022/GAB/CRE, publicada no Diário Oficial do Estado nº 202, de 20 de outubro de 2022, que "Define os documentos admitidos à comprovação da propriedade, da titularidade de domínio útil ou da posse a qualquer título, de imóvel rural, para efeitos de inscrição de produtor rural, consoante exigência contida nas alíneas “a” e “b” do inciso III do artigo 7º do Anexo XI do RICMS/RO, aprovado pelo Decreto nº 22.721, de 5 de abril de 2018"."</w:t>
      </w:r>
    </w:p>
    <w:p w14:paraId="062FF3AD" w14:textId="77777777" w:rsidR="00292B32" w:rsidRPr="00292B32" w:rsidRDefault="00292B32" w:rsidP="005E06F3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292B32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78A3EA2B" w14:textId="77777777" w:rsidR="00292B32" w:rsidRPr="00292B32" w:rsidRDefault="00292B32" w:rsidP="005E06F3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292B32">
        <w:rPr>
          <w:rFonts w:eastAsia="Times New Roman" w:cstheme="minorHAnsi"/>
          <w:color w:val="000000"/>
          <w:sz w:val="24"/>
          <w:szCs w:val="24"/>
          <w:lang w:eastAsia="pt-BR"/>
        </w:rPr>
        <w:t>No artigo 2º:</w:t>
      </w:r>
    </w:p>
    <w:p w14:paraId="435B67E9" w14:textId="77777777" w:rsidR="00292B32" w:rsidRPr="00292B32" w:rsidRDefault="00292B32" w:rsidP="005E06F3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292B32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24AE2BE4" w14:textId="77777777" w:rsidR="00292B32" w:rsidRPr="00292B32" w:rsidRDefault="00292B32" w:rsidP="005E06F3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292B32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ONDE SE LÊ:</w:t>
      </w:r>
    </w:p>
    <w:p w14:paraId="48D67FED" w14:textId="77777777" w:rsidR="00292B32" w:rsidRPr="00292B32" w:rsidRDefault="00292B32" w:rsidP="005E06F3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292B32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7791FF49" w14:textId="0C3FBE69" w:rsidR="00292B32" w:rsidRPr="00292B32" w:rsidRDefault="00292B32" w:rsidP="005E06F3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292B32">
        <w:rPr>
          <w:rFonts w:eastAsia="Times New Roman" w:cstheme="minorHAnsi"/>
          <w:color w:val="000000"/>
          <w:sz w:val="24"/>
          <w:szCs w:val="24"/>
          <w:lang w:eastAsia="pt-BR"/>
        </w:rPr>
        <w:t> Art. 2º Para concessão de inscrição no CAD/ICMS-RO ao produtor rural serão admitidos os seguintes documentos para a comprovação da propriedade, titularidade de domínio útil, ou posse a qualquer título, de imóvel rural:</w:t>
      </w:r>
    </w:p>
    <w:p w14:paraId="36FB9539" w14:textId="77777777" w:rsidR="00292B32" w:rsidRPr="00292B32" w:rsidRDefault="00292B32" w:rsidP="005E06F3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292B32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6C986F5D" w14:textId="77777777" w:rsidR="00292B32" w:rsidRPr="00292B32" w:rsidRDefault="00292B32" w:rsidP="005E06F3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292B32">
        <w:rPr>
          <w:rFonts w:eastAsia="Times New Roman" w:cstheme="minorHAnsi"/>
          <w:color w:val="000000"/>
          <w:sz w:val="24"/>
          <w:szCs w:val="24"/>
          <w:lang w:eastAsia="pt-BR"/>
        </w:rPr>
        <w:t>I – certidão de inteiro teor do imóvel, emitida por Cartório de Registro Imóveis;</w:t>
      </w:r>
    </w:p>
    <w:p w14:paraId="2EF543D0" w14:textId="77777777" w:rsidR="00292B32" w:rsidRPr="00292B32" w:rsidRDefault="00292B32" w:rsidP="005E06F3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292B32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12375450" w14:textId="77777777" w:rsidR="00292B32" w:rsidRPr="00292B32" w:rsidRDefault="00292B32" w:rsidP="005E06F3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292B32">
        <w:rPr>
          <w:rFonts w:eastAsia="Times New Roman" w:cstheme="minorHAnsi"/>
          <w:color w:val="000000"/>
          <w:sz w:val="24"/>
          <w:szCs w:val="24"/>
          <w:lang w:eastAsia="pt-BR"/>
        </w:rPr>
        <w:t>II – título de regularização fundiária, emitido pelo INCRA;</w:t>
      </w:r>
    </w:p>
    <w:p w14:paraId="6FAA3B0E" w14:textId="77777777" w:rsidR="00292B32" w:rsidRPr="00292B32" w:rsidRDefault="00292B32" w:rsidP="005E06F3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292B32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70A8788D" w14:textId="77777777" w:rsidR="00292B32" w:rsidRPr="00292B32" w:rsidRDefault="00292B32" w:rsidP="005E06F3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292B32">
        <w:rPr>
          <w:rFonts w:eastAsia="Times New Roman" w:cstheme="minorHAnsi"/>
          <w:color w:val="000000"/>
          <w:sz w:val="24"/>
          <w:szCs w:val="24"/>
          <w:lang w:eastAsia="pt-BR"/>
        </w:rPr>
        <w:t>III – Certificado de Cadastro de Imóvel Rural (CCIR), emitido pelo INCRA;</w:t>
      </w:r>
    </w:p>
    <w:p w14:paraId="0A25ABCB" w14:textId="77777777" w:rsidR="00292B32" w:rsidRPr="00292B32" w:rsidRDefault="00292B32" w:rsidP="005E06F3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292B32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623C33E1" w14:textId="77777777" w:rsidR="00292B32" w:rsidRPr="00292B32" w:rsidRDefault="00292B32" w:rsidP="005E06F3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292B32">
        <w:rPr>
          <w:rFonts w:eastAsia="Times New Roman" w:cstheme="minorHAnsi"/>
          <w:color w:val="000000"/>
          <w:sz w:val="24"/>
          <w:szCs w:val="24"/>
          <w:lang w:eastAsia="pt-BR"/>
        </w:rPr>
        <w:t>IV – decisão em processo judicial de inventário ou de divórcio;</w:t>
      </w:r>
    </w:p>
    <w:p w14:paraId="3A9F343A" w14:textId="77777777" w:rsidR="00292B32" w:rsidRPr="00292B32" w:rsidRDefault="00292B32" w:rsidP="005E06F3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292B32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08A367B8" w14:textId="77777777" w:rsidR="00292B32" w:rsidRPr="00292B32" w:rsidRDefault="00292B32" w:rsidP="005E06F3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292B32">
        <w:rPr>
          <w:rFonts w:eastAsia="Times New Roman" w:cstheme="minorHAnsi"/>
          <w:color w:val="000000"/>
          <w:sz w:val="24"/>
          <w:szCs w:val="24"/>
          <w:lang w:eastAsia="pt-BR"/>
        </w:rPr>
        <w:t>V – escritura pública em procedimento extrajudicial de inventário ou de divórcio;</w:t>
      </w:r>
    </w:p>
    <w:p w14:paraId="7FCEBEBA" w14:textId="77777777" w:rsidR="00292B32" w:rsidRPr="00292B32" w:rsidRDefault="00292B32" w:rsidP="005E06F3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292B32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3977F150" w14:textId="77777777" w:rsidR="00292B32" w:rsidRPr="00292B32" w:rsidRDefault="00292B32" w:rsidP="005E06F3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292B32">
        <w:rPr>
          <w:rFonts w:eastAsia="Times New Roman" w:cstheme="minorHAnsi"/>
          <w:color w:val="000000"/>
          <w:sz w:val="24"/>
          <w:szCs w:val="24"/>
          <w:lang w:eastAsia="pt-BR"/>
        </w:rPr>
        <w:t>VI – declaração de posse emitida por Prefeitura Municipal localizada no Estado de Rondônia, EMATER-RO, IDARON, FUNAI, SEDAM-RO ou SENAR, podendo ser utilizado para a sua emissão o modelo definido no Anexo Único desta Instrução;</w:t>
      </w:r>
    </w:p>
    <w:p w14:paraId="1CB3B65F" w14:textId="1DAA0F62" w:rsidR="00292B32" w:rsidRPr="00292B32" w:rsidRDefault="00292B32" w:rsidP="005E06F3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292B32">
        <w:rPr>
          <w:rFonts w:eastAsia="Times New Roman" w:cstheme="minorHAnsi"/>
          <w:color w:val="000000"/>
          <w:sz w:val="24"/>
          <w:szCs w:val="24"/>
          <w:lang w:eastAsia="pt-BR"/>
        </w:rPr>
        <w:t> VII – Declaração do Imposto sobre a Propriedade Territorial Rural (DITR), acompanhado do recibo de entrega à Receita Federal do Brasil (RFB), referente ao último exercício fiscal;</w:t>
      </w:r>
    </w:p>
    <w:p w14:paraId="74776E5F" w14:textId="201CD3D5" w:rsidR="00292B32" w:rsidRPr="00292B32" w:rsidRDefault="00292B32" w:rsidP="005E06F3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292B32">
        <w:rPr>
          <w:rFonts w:eastAsia="Times New Roman" w:cstheme="minorHAnsi"/>
          <w:color w:val="000000"/>
          <w:sz w:val="24"/>
          <w:szCs w:val="24"/>
          <w:lang w:eastAsia="pt-BR"/>
        </w:rPr>
        <w:lastRenderedPageBreak/>
        <w:t> VIII – escritura pública de compra e venda ou contrato de compra e venda com reconhecimento de firma das partes; e</w:t>
      </w:r>
    </w:p>
    <w:p w14:paraId="24D22C46" w14:textId="77777777" w:rsidR="00292B32" w:rsidRPr="00292B32" w:rsidRDefault="00292B32" w:rsidP="005E06F3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292B32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2DF9335A" w14:textId="77777777" w:rsidR="00292B32" w:rsidRPr="00292B32" w:rsidRDefault="00292B32" w:rsidP="005E06F3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292B32">
        <w:rPr>
          <w:rFonts w:eastAsia="Times New Roman" w:cstheme="minorHAnsi"/>
          <w:color w:val="000000"/>
          <w:sz w:val="24"/>
          <w:szCs w:val="24"/>
          <w:lang w:eastAsia="pt-BR"/>
        </w:rPr>
        <w:t>IX – escritura pública de cessão de direitos hereditários ou contrato de cessão de direitos hereditários com reconhecimento de firma das partes.</w:t>
      </w:r>
    </w:p>
    <w:p w14:paraId="4C33C6D5" w14:textId="77777777" w:rsidR="00292B32" w:rsidRPr="00292B32" w:rsidRDefault="00292B32" w:rsidP="005E06F3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292B32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795FA9A0" w14:textId="77777777" w:rsidR="00292B32" w:rsidRPr="00292B32" w:rsidRDefault="00292B32" w:rsidP="005E06F3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292B32">
        <w:rPr>
          <w:rFonts w:eastAsia="Times New Roman" w:cstheme="minorHAnsi"/>
          <w:color w:val="000000"/>
          <w:sz w:val="24"/>
          <w:szCs w:val="24"/>
          <w:lang w:eastAsia="pt-BR"/>
        </w:rPr>
        <w:t>§ 1º Os documentos previstos nos incisos VIII e IX do </w:t>
      </w:r>
      <w:r w:rsidRPr="00292B32">
        <w:rPr>
          <w:rFonts w:eastAsia="Times New Roman" w:cstheme="minorHAnsi"/>
          <w:i/>
          <w:iCs/>
          <w:color w:val="000000"/>
          <w:sz w:val="24"/>
          <w:szCs w:val="24"/>
          <w:lang w:eastAsia="pt-BR"/>
        </w:rPr>
        <w:t>caput</w:t>
      </w:r>
      <w:r w:rsidRPr="00292B32">
        <w:rPr>
          <w:rFonts w:eastAsia="Times New Roman" w:cstheme="minorHAnsi"/>
          <w:color w:val="000000"/>
          <w:sz w:val="24"/>
          <w:szCs w:val="24"/>
          <w:lang w:eastAsia="pt-BR"/>
        </w:rPr>
        <w:t> deste artigo somente poderão ser admitidos caso haja comprovação de que o vendedor ou o cedente poderiam de fato dispor do referido imóvel.</w:t>
      </w:r>
    </w:p>
    <w:p w14:paraId="65FB4D91" w14:textId="77777777" w:rsidR="00292B32" w:rsidRPr="00292B32" w:rsidRDefault="00292B32" w:rsidP="005E06F3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292B32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74DBA9FC" w14:textId="77777777" w:rsidR="00292B32" w:rsidRPr="00292B32" w:rsidRDefault="00292B32" w:rsidP="005E06F3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292B32">
        <w:rPr>
          <w:rFonts w:eastAsia="Times New Roman" w:cstheme="minorHAnsi"/>
          <w:color w:val="000000"/>
          <w:sz w:val="24"/>
          <w:szCs w:val="24"/>
          <w:lang w:eastAsia="pt-BR"/>
        </w:rPr>
        <w:t>§ 2º Além dos documentos descritos nos incisos do </w:t>
      </w:r>
      <w:r w:rsidRPr="00292B32">
        <w:rPr>
          <w:rFonts w:eastAsia="Times New Roman" w:cstheme="minorHAnsi"/>
          <w:i/>
          <w:iCs/>
          <w:color w:val="000000"/>
          <w:sz w:val="24"/>
          <w:szCs w:val="24"/>
          <w:lang w:eastAsia="pt-BR"/>
        </w:rPr>
        <w:t>caput</w:t>
      </w:r>
      <w:r w:rsidRPr="00292B32">
        <w:rPr>
          <w:rFonts w:eastAsia="Times New Roman" w:cstheme="minorHAnsi"/>
          <w:color w:val="000000"/>
          <w:sz w:val="24"/>
          <w:szCs w:val="24"/>
          <w:lang w:eastAsia="pt-BR"/>
        </w:rPr>
        <w:t>, poderão ser aceitos outros que </w:t>
      </w:r>
      <w:r w:rsidRPr="00292B32">
        <w:rPr>
          <w:rFonts w:eastAsia="Times New Roman" w:cstheme="minorHAnsi"/>
          <w:color w:val="000000"/>
          <w:sz w:val="24"/>
          <w:szCs w:val="24"/>
          <w:shd w:val="clear" w:color="auto" w:fill="FFFFFF"/>
          <w:lang w:eastAsia="pt-BR"/>
        </w:rPr>
        <w:t>irrefutavelmente</w:t>
      </w:r>
      <w:r w:rsidRPr="00292B32">
        <w:rPr>
          <w:rFonts w:eastAsia="Times New Roman" w:cstheme="minorHAnsi"/>
          <w:color w:val="000000"/>
          <w:sz w:val="24"/>
          <w:szCs w:val="24"/>
          <w:lang w:eastAsia="pt-BR"/>
        </w:rPr>
        <w:t> comprovem a condição de proprietário ou de titular de domínio útil ou possuidor a qualquer título do imóvel.</w:t>
      </w:r>
    </w:p>
    <w:p w14:paraId="2A15217C" w14:textId="77777777" w:rsidR="00292B32" w:rsidRPr="00292B32" w:rsidRDefault="00292B32" w:rsidP="005E06F3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292B32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07B24C1F" w14:textId="77777777" w:rsidR="00292B32" w:rsidRPr="00292B32" w:rsidRDefault="00292B32" w:rsidP="005E06F3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292B32">
        <w:rPr>
          <w:rFonts w:eastAsia="Times New Roman" w:cstheme="minorHAnsi"/>
          <w:color w:val="000000"/>
          <w:sz w:val="24"/>
          <w:szCs w:val="24"/>
          <w:lang w:eastAsia="pt-BR"/>
        </w:rPr>
        <w:t>§ 3º A comprovação da condição de proprietário ou de titular de domínio útil ou possuidor a qualquer título do imóvel rural também poderá, em substituição aos documentos elencados no </w:t>
      </w:r>
      <w:r w:rsidRPr="00292B32">
        <w:rPr>
          <w:rFonts w:eastAsia="Times New Roman" w:cstheme="minorHAnsi"/>
          <w:i/>
          <w:iCs/>
          <w:color w:val="000000"/>
          <w:sz w:val="24"/>
          <w:szCs w:val="24"/>
          <w:lang w:eastAsia="pt-BR"/>
        </w:rPr>
        <w:t>caput</w:t>
      </w:r>
      <w:r w:rsidRPr="00292B32">
        <w:rPr>
          <w:rFonts w:eastAsia="Times New Roman" w:cstheme="minorHAnsi"/>
          <w:color w:val="000000"/>
          <w:sz w:val="24"/>
          <w:szCs w:val="24"/>
          <w:lang w:eastAsia="pt-BR"/>
        </w:rPr>
        <w:t>, ser constatada por meio de vistoria "in loco" e elaboração de relatório conclusivo, emitido por autoridade fazendária vinculada à SEFIN ou por órgãos e entidades da Administração Direta e Indireta municipais, estaduais ou federais credenciadas na Coordenadoria da Receita Estadual, na forma do artigo 6º do Anexo XI do RICMS/RO.</w:t>
      </w:r>
    </w:p>
    <w:p w14:paraId="5E1EEBF8" w14:textId="77777777" w:rsidR="00292B32" w:rsidRPr="00292B32" w:rsidRDefault="00292B32" w:rsidP="005E06F3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292B32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634F7776" w14:textId="77777777" w:rsidR="00292B32" w:rsidRPr="00292B32" w:rsidRDefault="00292B32" w:rsidP="005E06F3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292B32">
        <w:rPr>
          <w:rFonts w:eastAsia="Times New Roman" w:cstheme="minorHAnsi"/>
          <w:color w:val="000000"/>
          <w:sz w:val="24"/>
          <w:szCs w:val="24"/>
          <w:lang w:eastAsia="pt-BR"/>
        </w:rPr>
        <w:t>§ 3º </w:t>
      </w:r>
      <w:r w:rsidRPr="00292B32">
        <w:rPr>
          <w:rFonts w:eastAsia="Times New Roman" w:cstheme="minorHAnsi"/>
          <w:color w:val="000000"/>
          <w:sz w:val="24"/>
          <w:szCs w:val="24"/>
          <w:shd w:val="clear" w:color="auto" w:fill="FFFFFF"/>
          <w:lang w:eastAsia="pt-BR"/>
        </w:rPr>
        <w:t>Em substituição aos documentos dispostos no </w:t>
      </w:r>
      <w:r w:rsidRPr="00292B32">
        <w:rPr>
          <w:rFonts w:eastAsia="Times New Roman" w:cstheme="minorHAnsi"/>
          <w:i/>
          <w:iCs/>
          <w:color w:val="000000"/>
          <w:sz w:val="24"/>
          <w:szCs w:val="24"/>
          <w:shd w:val="clear" w:color="auto" w:fill="FFFFFF"/>
          <w:lang w:eastAsia="pt-BR"/>
        </w:rPr>
        <w:t>caput</w:t>
      </w:r>
      <w:r w:rsidRPr="00292B32">
        <w:rPr>
          <w:rFonts w:eastAsia="Times New Roman" w:cstheme="minorHAnsi"/>
          <w:color w:val="000000"/>
          <w:sz w:val="24"/>
          <w:szCs w:val="24"/>
          <w:shd w:val="clear" w:color="auto" w:fill="FFFFFF"/>
          <w:lang w:eastAsia="pt-BR"/>
        </w:rPr>
        <w:t>,</w:t>
      </w:r>
      <w:r w:rsidRPr="00292B32">
        <w:rPr>
          <w:rFonts w:eastAsia="Times New Roman" w:cstheme="minorHAnsi"/>
          <w:color w:val="000000"/>
          <w:sz w:val="24"/>
          <w:szCs w:val="24"/>
          <w:lang w:eastAsia="pt-BR"/>
        </w:rPr>
        <w:t> a comprovação da condição de proprietário ou de titular de domínio útil ou possuidor a qualquer título do imóvel rural poderá ser constatada por meio de vistoria "in loco" e elaboração de relatório conclusivo, emitido por autoridade fazendária vinculada à SEFIN ou por órgãos e entidades da Administração Direta e Indireta municipais, estaduais ou federais credenciadas na Coordenadoria da Receita Estadual, na forma do artigo 6º do Anexo XI do RICMS/RO.</w:t>
      </w:r>
    </w:p>
    <w:p w14:paraId="6DE20391" w14:textId="04788390" w:rsidR="00292B32" w:rsidRPr="00292B32" w:rsidRDefault="00292B32" w:rsidP="005E06F3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292B32">
        <w:rPr>
          <w:rFonts w:eastAsia="Times New Roman" w:cstheme="minorHAnsi"/>
          <w:color w:val="000000"/>
          <w:sz w:val="24"/>
          <w:szCs w:val="24"/>
          <w:lang w:eastAsia="pt-BR"/>
        </w:rPr>
        <w:t>  </w:t>
      </w:r>
    </w:p>
    <w:p w14:paraId="12AFB9E7" w14:textId="77777777" w:rsidR="00292B32" w:rsidRPr="00292B32" w:rsidRDefault="00292B32" w:rsidP="005E06F3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292B32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LEIA-SE:</w:t>
      </w:r>
    </w:p>
    <w:p w14:paraId="7A7B9FDE" w14:textId="77777777" w:rsidR="00292B32" w:rsidRPr="00292B32" w:rsidRDefault="00292B32" w:rsidP="005E06F3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292B32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73B0F664" w14:textId="77777777" w:rsidR="00292B32" w:rsidRPr="00292B32" w:rsidRDefault="00292B32" w:rsidP="005E06F3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292B32">
        <w:rPr>
          <w:rFonts w:eastAsia="Times New Roman" w:cstheme="minorHAnsi"/>
          <w:color w:val="000000"/>
          <w:sz w:val="24"/>
          <w:szCs w:val="24"/>
          <w:lang w:eastAsia="pt-BR"/>
        </w:rPr>
        <w:t>Art. 2º Para concessão de inscrição no CAD/ICMS-RO ao produtor rural serão admitidos os seguintes documentos para a comprovação da propriedade, titularidade de domínio útil, ou posse a qualquer título, de imóvel rural:</w:t>
      </w:r>
    </w:p>
    <w:p w14:paraId="66E94626" w14:textId="77777777" w:rsidR="00292B32" w:rsidRPr="00292B32" w:rsidRDefault="00292B32" w:rsidP="005E06F3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292B32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1E350855" w14:textId="77777777" w:rsidR="00292B32" w:rsidRPr="00292B32" w:rsidRDefault="00292B32" w:rsidP="005E06F3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292B32">
        <w:rPr>
          <w:rFonts w:eastAsia="Times New Roman" w:cstheme="minorHAnsi"/>
          <w:color w:val="000000"/>
          <w:sz w:val="24"/>
          <w:szCs w:val="24"/>
          <w:lang w:eastAsia="pt-BR"/>
        </w:rPr>
        <w:t>I – certidão de inteiro teor do imóvel, emitida por Cartório de Registro Imóveis;</w:t>
      </w:r>
    </w:p>
    <w:p w14:paraId="738D6743" w14:textId="77777777" w:rsidR="00292B32" w:rsidRPr="00292B32" w:rsidRDefault="00292B32" w:rsidP="005E06F3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292B32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12BF72FF" w14:textId="77777777" w:rsidR="00292B32" w:rsidRPr="00292B32" w:rsidRDefault="00292B32" w:rsidP="005E06F3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292B32">
        <w:rPr>
          <w:rFonts w:eastAsia="Times New Roman" w:cstheme="minorHAnsi"/>
          <w:color w:val="000000"/>
          <w:sz w:val="24"/>
          <w:szCs w:val="24"/>
          <w:lang w:eastAsia="pt-BR"/>
        </w:rPr>
        <w:t>II – título de regularização fundiária, emitido pelo INCRA;</w:t>
      </w:r>
    </w:p>
    <w:p w14:paraId="55AB6BA4" w14:textId="77777777" w:rsidR="00292B32" w:rsidRPr="00292B32" w:rsidRDefault="00292B32" w:rsidP="005E06F3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292B32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2C4D459A" w14:textId="77777777" w:rsidR="00292B32" w:rsidRPr="00292B32" w:rsidRDefault="00292B32" w:rsidP="005E06F3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292B32">
        <w:rPr>
          <w:rFonts w:eastAsia="Times New Roman" w:cstheme="minorHAnsi"/>
          <w:color w:val="000000"/>
          <w:sz w:val="24"/>
          <w:szCs w:val="24"/>
          <w:lang w:eastAsia="pt-BR"/>
        </w:rPr>
        <w:t>III – Certificado de Cadastro de Imóvel Rural (CCIR), emitido pelo INCRA;</w:t>
      </w:r>
    </w:p>
    <w:p w14:paraId="2B73E250" w14:textId="77777777" w:rsidR="00292B32" w:rsidRPr="00292B32" w:rsidRDefault="00292B32" w:rsidP="005E06F3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292B32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17BDE7D7" w14:textId="77777777" w:rsidR="00292B32" w:rsidRPr="00292B32" w:rsidRDefault="00292B32" w:rsidP="005E06F3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292B32">
        <w:rPr>
          <w:rFonts w:eastAsia="Times New Roman" w:cstheme="minorHAnsi"/>
          <w:color w:val="000000"/>
          <w:sz w:val="24"/>
          <w:szCs w:val="24"/>
          <w:lang w:eastAsia="pt-BR"/>
        </w:rPr>
        <w:t>IV – decisão em processo judicial de inventário ou de divórcio;</w:t>
      </w:r>
    </w:p>
    <w:p w14:paraId="6B73CF3C" w14:textId="77777777" w:rsidR="00292B32" w:rsidRPr="00292B32" w:rsidRDefault="00292B32" w:rsidP="005E06F3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292B32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54E23079" w14:textId="77777777" w:rsidR="00292B32" w:rsidRPr="00292B32" w:rsidRDefault="00292B32" w:rsidP="005E06F3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292B32">
        <w:rPr>
          <w:rFonts w:eastAsia="Times New Roman" w:cstheme="minorHAnsi"/>
          <w:color w:val="000000"/>
          <w:sz w:val="24"/>
          <w:szCs w:val="24"/>
          <w:lang w:eastAsia="pt-BR"/>
        </w:rPr>
        <w:t>V – escritura pública em procedimento extrajudicial de inventário ou de divórcio;</w:t>
      </w:r>
    </w:p>
    <w:p w14:paraId="046A7F95" w14:textId="77777777" w:rsidR="00292B32" w:rsidRPr="00292B32" w:rsidRDefault="00292B32" w:rsidP="005E06F3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292B32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04AD20A5" w14:textId="77777777" w:rsidR="00292B32" w:rsidRPr="00292B32" w:rsidRDefault="00292B32" w:rsidP="005E06F3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292B32">
        <w:rPr>
          <w:rFonts w:eastAsia="Times New Roman" w:cstheme="minorHAnsi"/>
          <w:color w:val="000000"/>
          <w:sz w:val="24"/>
          <w:szCs w:val="24"/>
          <w:lang w:eastAsia="pt-BR"/>
        </w:rPr>
        <w:lastRenderedPageBreak/>
        <w:t>VI – declaração de posse emitida por Prefeitura Municipal localizada no Estado de Rondônia, EMATER-RO, IDARON, FUNAI, SEDAM-RO ou SENAR, podendo ser utilizado para a sua emissão o modelo definido no Anexo Único desta Instrução;</w:t>
      </w:r>
    </w:p>
    <w:p w14:paraId="00C9FF2F" w14:textId="77777777" w:rsidR="00292B32" w:rsidRPr="00292B32" w:rsidRDefault="00292B32" w:rsidP="005E06F3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292B32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604F6C1D" w14:textId="77777777" w:rsidR="00292B32" w:rsidRPr="00292B32" w:rsidRDefault="00292B32" w:rsidP="005E06F3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292B32">
        <w:rPr>
          <w:rFonts w:eastAsia="Times New Roman" w:cstheme="minorHAnsi"/>
          <w:color w:val="000000"/>
          <w:sz w:val="24"/>
          <w:szCs w:val="24"/>
          <w:lang w:eastAsia="pt-BR"/>
        </w:rPr>
        <w:t>VII – Declaração do Imposto sobre a Propriedade Territorial Rural (DITR), acompanhado do recibo de entrega à Receita Federal do Brasil (RFB), referente ao último exercício fiscal;</w:t>
      </w:r>
    </w:p>
    <w:p w14:paraId="61F37DA9" w14:textId="77777777" w:rsidR="00292B32" w:rsidRPr="00292B32" w:rsidRDefault="00292B32" w:rsidP="005E06F3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292B32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55289BA1" w14:textId="77777777" w:rsidR="00292B32" w:rsidRPr="00292B32" w:rsidRDefault="00292B32" w:rsidP="005E06F3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292B32">
        <w:rPr>
          <w:rFonts w:eastAsia="Times New Roman" w:cstheme="minorHAnsi"/>
          <w:color w:val="000000"/>
          <w:sz w:val="24"/>
          <w:szCs w:val="24"/>
          <w:lang w:eastAsia="pt-BR"/>
        </w:rPr>
        <w:t>VIII – escritura pública de compra e venda ou contrato de compra e venda com reconhecimento de firma das partes; e</w:t>
      </w:r>
    </w:p>
    <w:p w14:paraId="11E74429" w14:textId="77777777" w:rsidR="00292B32" w:rsidRPr="00292B32" w:rsidRDefault="00292B32" w:rsidP="005E06F3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292B32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702E961C" w14:textId="77777777" w:rsidR="00292B32" w:rsidRPr="00292B32" w:rsidRDefault="00292B32" w:rsidP="005E06F3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292B32">
        <w:rPr>
          <w:rFonts w:eastAsia="Times New Roman" w:cstheme="minorHAnsi"/>
          <w:color w:val="000000"/>
          <w:sz w:val="24"/>
          <w:szCs w:val="24"/>
          <w:lang w:eastAsia="pt-BR"/>
        </w:rPr>
        <w:t>IX – escritura pública de cessão de direitos hereditários ou contrato de cessão de direitos hereditários com reconhecimento de firma das partes.</w:t>
      </w:r>
    </w:p>
    <w:p w14:paraId="4641995F" w14:textId="77777777" w:rsidR="00292B32" w:rsidRPr="00292B32" w:rsidRDefault="00292B32" w:rsidP="005E06F3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292B32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5DA5AC40" w14:textId="77777777" w:rsidR="00292B32" w:rsidRPr="00292B32" w:rsidRDefault="00292B32" w:rsidP="005E06F3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292B32">
        <w:rPr>
          <w:rFonts w:eastAsia="Times New Roman" w:cstheme="minorHAnsi"/>
          <w:color w:val="000000"/>
          <w:sz w:val="24"/>
          <w:szCs w:val="24"/>
          <w:lang w:eastAsia="pt-BR"/>
        </w:rPr>
        <w:t>§ 1º Os documentos previstos nos incisos VIII e IX do </w:t>
      </w:r>
      <w:r w:rsidRPr="00292B32">
        <w:rPr>
          <w:rFonts w:eastAsia="Times New Roman" w:cstheme="minorHAnsi"/>
          <w:i/>
          <w:iCs/>
          <w:color w:val="000000"/>
          <w:sz w:val="24"/>
          <w:szCs w:val="24"/>
          <w:lang w:eastAsia="pt-BR"/>
        </w:rPr>
        <w:t>caput</w:t>
      </w:r>
      <w:r w:rsidRPr="00292B32">
        <w:rPr>
          <w:rFonts w:eastAsia="Times New Roman" w:cstheme="minorHAnsi"/>
          <w:color w:val="000000"/>
          <w:sz w:val="24"/>
          <w:szCs w:val="24"/>
          <w:lang w:eastAsia="pt-BR"/>
        </w:rPr>
        <w:t> deste artigo somente poderão ser admitidos caso haja comprovação de que o vendedor ou o cedente poderiam de fato dispor do referido imóvel.</w:t>
      </w:r>
    </w:p>
    <w:p w14:paraId="37CDEBD1" w14:textId="77777777" w:rsidR="00292B32" w:rsidRPr="00292B32" w:rsidRDefault="00292B32" w:rsidP="005E06F3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292B32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71DC7F39" w14:textId="77777777" w:rsidR="00292B32" w:rsidRPr="00292B32" w:rsidRDefault="00292B32" w:rsidP="005E06F3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292B32">
        <w:rPr>
          <w:rFonts w:eastAsia="Times New Roman" w:cstheme="minorHAnsi"/>
          <w:color w:val="000000"/>
          <w:sz w:val="24"/>
          <w:szCs w:val="24"/>
          <w:lang w:eastAsia="pt-BR"/>
        </w:rPr>
        <w:t>§ 2º Além dos documentos descritos nos incisos do </w:t>
      </w:r>
      <w:r w:rsidRPr="00292B32">
        <w:rPr>
          <w:rFonts w:eastAsia="Times New Roman" w:cstheme="minorHAnsi"/>
          <w:i/>
          <w:iCs/>
          <w:color w:val="000000"/>
          <w:sz w:val="24"/>
          <w:szCs w:val="24"/>
          <w:lang w:eastAsia="pt-BR"/>
        </w:rPr>
        <w:t>caput</w:t>
      </w:r>
      <w:r w:rsidRPr="00292B32">
        <w:rPr>
          <w:rFonts w:eastAsia="Times New Roman" w:cstheme="minorHAnsi"/>
          <w:color w:val="000000"/>
          <w:sz w:val="24"/>
          <w:szCs w:val="24"/>
          <w:lang w:eastAsia="pt-BR"/>
        </w:rPr>
        <w:t>, poderão ser aceitos outros que </w:t>
      </w:r>
      <w:r w:rsidRPr="00292B32">
        <w:rPr>
          <w:rFonts w:eastAsia="Times New Roman" w:cstheme="minorHAnsi"/>
          <w:color w:val="000000"/>
          <w:sz w:val="24"/>
          <w:szCs w:val="24"/>
          <w:shd w:val="clear" w:color="auto" w:fill="FFFFFF"/>
          <w:lang w:eastAsia="pt-BR"/>
        </w:rPr>
        <w:t>irrefutavelmente</w:t>
      </w:r>
      <w:r w:rsidRPr="00292B32">
        <w:rPr>
          <w:rFonts w:eastAsia="Times New Roman" w:cstheme="minorHAnsi"/>
          <w:color w:val="000000"/>
          <w:sz w:val="24"/>
          <w:szCs w:val="24"/>
          <w:lang w:eastAsia="pt-BR"/>
        </w:rPr>
        <w:t> comprovem a condição de proprietário ou de titular de domínio útil ou possuidor a qualquer título do imóvel.</w:t>
      </w:r>
    </w:p>
    <w:p w14:paraId="3309A6CB" w14:textId="77777777" w:rsidR="00292B32" w:rsidRPr="00292B32" w:rsidRDefault="00292B32" w:rsidP="005E06F3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292B32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</w:p>
    <w:p w14:paraId="1450819B" w14:textId="77777777" w:rsidR="00292B32" w:rsidRPr="00292B32" w:rsidRDefault="00292B32" w:rsidP="005E06F3">
      <w:pPr>
        <w:spacing w:before="120" w:after="120" w:line="240" w:lineRule="auto"/>
        <w:ind w:left="120" w:right="120" w:firstLine="1418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292B32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§ 3º</w:t>
      </w:r>
      <w:r w:rsidRPr="00292B32">
        <w:rPr>
          <w:rFonts w:eastAsia="Times New Roman" w:cstheme="minorHAnsi"/>
          <w:color w:val="000000"/>
          <w:sz w:val="24"/>
          <w:szCs w:val="24"/>
          <w:lang w:eastAsia="pt-BR"/>
        </w:rPr>
        <w:t> </w:t>
      </w:r>
      <w:r w:rsidRPr="00292B32">
        <w:rPr>
          <w:rFonts w:eastAsia="Times New Roman" w:cstheme="minorHAnsi"/>
          <w:b/>
          <w:bCs/>
          <w:color w:val="000000"/>
          <w:sz w:val="24"/>
          <w:szCs w:val="24"/>
          <w:shd w:val="clear" w:color="auto" w:fill="FFFFFF"/>
          <w:lang w:eastAsia="pt-BR"/>
        </w:rPr>
        <w:t>Em substituição aos documentos dispostos no </w:t>
      </w:r>
      <w:r w:rsidRPr="00292B32">
        <w:rPr>
          <w:rFonts w:eastAsia="Times New Roman" w:cstheme="minorHAnsi"/>
          <w:b/>
          <w:bCs/>
          <w:i/>
          <w:iCs/>
          <w:color w:val="000000"/>
          <w:sz w:val="24"/>
          <w:szCs w:val="24"/>
          <w:shd w:val="clear" w:color="auto" w:fill="FFFFFF"/>
          <w:lang w:eastAsia="pt-BR"/>
        </w:rPr>
        <w:t>caput</w:t>
      </w:r>
      <w:r w:rsidRPr="00292B32">
        <w:rPr>
          <w:rFonts w:eastAsia="Times New Roman" w:cstheme="minorHAnsi"/>
          <w:b/>
          <w:bCs/>
          <w:color w:val="000000"/>
          <w:sz w:val="24"/>
          <w:szCs w:val="24"/>
          <w:shd w:val="clear" w:color="auto" w:fill="FFFFFF"/>
          <w:lang w:eastAsia="pt-BR"/>
        </w:rPr>
        <w:t>,</w:t>
      </w:r>
      <w:r w:rsidRPr="00292B32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 a condição de proprietário ou de titular de domínio útil ou possuidor a qualquer título do imóvel rural também poderá ser comprovada por meio de visita "in loco" e elaboração de relatório conclusivo, emitido por autoridade fazendária vinculada à SEFIN ou por órgãos e entidades da Administração Direta e Indireta municipais, estaduais ou federais credenciadas na Coordenadoria da Receita Estadual, na forma do artigo 6º do Anexo XI do RICMS/RO.".</w:t>
      </w:r>
    </w:p>
    <w:p w14:paraId="44241CF1" w14:textId="15EE1AF9" w:rsidR="00292B32" w:rsidRPr="00292B32" w:rsidRDefault="00292B32" w:rsidP="005E06F3">
      <w:pPr>
        <w:spacing w:before="120" w:after="120" w:line="240" w:lineRule="auto"/>
        <w:ind w:left="120" w:right="120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292B32">
        <w:rPr>
          <w:rFonts w:eastAsia="Times New Roman" w:cstheme="minorHAnsi"/>
          <w:color w:val="000000"/>
          <w:sz w:val="24"/>
          <w:szCs w:val="24"/>
          <w:lang w:eastAsia="pt-BR"/>
        </w:rPr>
        <w:t>  </w:t>
      </w:r>
    </w:p>
    <w:p w14:paraId="38771D8C" w14:textId="77777777" w:rsidR="00292B32" w:rsidRPr="00292B32" w:rsidRDefault="00292B32" w:rsidP="005E06F3">
      <w:pPr>
        <w:spacing w:before="120" w:after="120" w:line="240" w:lineRule="auto"/>
        <w:ind w:left="120" w:right="120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292B32">
        <w:rPr>
          <w:rFonts w:eastAsia="Times New Roman" w:cstheme="minorHAnsi"/>
          <w:color w:val="000000"/>
          <w:sz w:val="24"/>
          <w:szCs w:val="24"/>
          <w:lang w:eastAsia="pt-BR"/>
        </w:rPr>
        <w:t>Porto Velho, 25 de outubro de 2022.</w:t>
      </w:r>
    </w:p>
    <w:p w14:paraId="57A7E3F4" w14:textId="1D4B91F3" w:rsidR="007C3B98" w:rsidRPr="00292B32" w:rsidRDefault="00292B32" w:rsidP="007C3B98">
      <w:pPr>
        <w:spacing w:before="120" w:after="120" w:line="240" w:lineRule="auto"/>
        <w:ind w:left="120" w:right="120"/>
        <w:jc w:val="both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292B32">
        <w:rPr>
          <w:rFonts w:eastAsia="Times New Roman" w:cstheme="minorHAnsi"/>
          <w:color w:val="000000"/>
          <w:sz w:val="24"/>
          <w:szCs w:val="24"/>
          <w:lang w:eastAsia="pt-BR"/>
        </w:rPr>
        <w:t>  </w:t>
      </w:r>
    </w:p>
    <w:p w14:paraId="2253D08F" w14:textId="77777777" w:rsidR="00292B32" w:rsidRPr="00292B32" w:rsidRDefault="00292B32" w:rsidP="005E06F3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292B32">
        <w:rPr>
          <w:rFonts w:eastAsia="Times New Roman" w:cstheme="minorHAnsi"/>
          <w:b/>
          <w:bCs/>
          <w:color w:val="000000"/>
          <w:sz w:val="24"/>
          <w:szCs w:val="24"/>
          <w:lang w:eastAsia="pt-BR"/>
        </w:rPr>
        <w:t>ANTONIO CARLOS ALENCAR DO NASCIMENTO</w:t>
      </w:r>
    </w:p>
    <w:p w14:paraId="0730FDDC" w14:textId="77777777" w:rsidR="007C3B98" w:rsidRDefault="00292B32" w:rsidP="007C3B98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sz w:val="24"/>
          <w:szCs w:val="24"/>
          <w:lang w:eastAsia="pt-BR"/>
        </w:rPr>
      </w:pPr>
      <w:r w:rsidRPr="00292B32">
        <w:rPr>
          <w:rFonts w:eastAsia="Times New Roman" w:cstheme="minorHAnsi"/>
          <w:color w:val="000000"/>
          <w:sz w:val="24"/>
          <w:szCs w:val="24"/>
          <w:lang w:eastAsia="pt-BR"/>
        </w:rPr>
        <w:t>Coordenador-Geral da Receita Estadual  </w:t>
      </w:r>
    </w:p>
    <w:p w14:paraId="0657CEB3" w14:textId="0CF752D2" w:rsidR="00292B32" w:rsidRPr="00292B32" w:rsidRDefault="00C00B3C" w:rsidP="007C3B98">
      <w:pPr>
        <w:spacing w:before="120" w:after="120" w:line="240" w:lineRule="auto"/>
        <w:ind w:left="120" w:right="120"/>
        <w:jc w:val="center"/>
        <w:rPr>
          <w:rFonts w:eastAsia="Times New Roman" w:cstheme="minorHAnsi"/>
          <w:color w:val="000000"/>
          <w:sz w:val="20"/>
          <w:szCs w:val="20"/>
          <w:lang w:eastAsia="pt-BR"/>
        </w:rPr>
      </w:pPr>
      <w:r>
        <w:rPr>
          <w:rFonts w:eastAsia="Times New Roman" w:cstheme="minorHAnsi"/>
          <w:color w:val="000000"/>
          <w:sz w:val="20"/>
          <w:szCs w:val="20"/>
          <w:lang w:eastAsia="pt-BR"/>
        </w:rPr>
        <w:pict w14:anchorId="599507E0">
          <v:rect id="_x0000_i1025" style="width:0;height:1.5pt" o:hralign="center" o:hrstd="t" o:hr="t" fillcolor="#a0a0a0" stroked="f"/>
        </w:pic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425"/>
        <w:gridCol w:w="9347"/>
      </w:tblGrid>
      <w:tr w:rsidR="00292B32" w:rsidRPr="00292B32" w14:paraId="424D8E1F" w14:textId="77777777" w:rsidTr="00292B32">
        <w:trPr>
          <w:tblCellSpacing w:w="15" w:type="dxa"/>
        </w:trPr>
        <w:tc>
          <w:tcPr>
            <w:tcW w:w="0" w:type="auto"/>
            <w:vAlign w:val="center"/>
            <w:hideMark/>
          </w:tcPr>
          <w:p w14:paraId="71A14CC4" w14:textId="1A0CFFE1" w:rsidR="00292B32" w:rsidRPr="00292B32" w:rsidRDefault="00292B32" w:rsidP="005E06F3">
            <w:pPr>
              <w:spacing w:after="0" w:line="240" w:lineRule="auto"/>
              <w:jc w:val="both"/>
              <w:rPr>
                <w:rFonts w:eastAsia="Times New Roman" w:cstheme="minorHAnsi"/>
                <w:sz w:val="20"/>
                <w:szCs w:val="20"/>
                <w:lang w:eastAsia="pt-BR"/>
              </w:rPr>
            </w:pPr>
            <w:r w:rsidRPr="005E06F3">
              <w:rPr>
                <w:rFonts w:cstheme="minorHAnsi"/>
                <w:noProof/>
                <w:sz w:val="20"/>
                <w:szCs w:val="20"/>
              </w:rPr>
              <w:drawing>
                <wp:inline distT="0" distB="0" distL="0" distR="0" wp14:anchorId="455C04E6" wp14:editId="2ED41A98">
                  <wp:extent cx="850900" cy="571500"/>
                  <wp:effectExtent l="0" t="0" r="6350" b="0"/>
                  <wp:docPr id="2" name="Imagem 2" descr="Interface gráfica do usuário&#10;&#10;Descrição gerada automaticament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Imagem 2" descr="Interface gráfica do usuário&#10;&#10;Descrição gerada automaticamente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50900" cy="5715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vAlign w:val="center"/>
            <w:hideMark/>
          </w:tcPr>
          <w:p w14:paraId="540AEDB1" w14:textId="77777777" w:rsidR="00292B32" w:rsidRPr="00292B32" w:rsidRDefault="00292B32" w:rsidP="005E06F3">
            <w:pPr>
              <w:spacing w:after="0" w:line="240" w:lineRule="auto"/>
              <w:jc w:val="both"/>
              <w:rPr>
                <w:rFonts w:eastAsia="Times New Roman" w:cstheme="minorHAnsi"/>
                <w:sz w:val="20"/>
                <w:szCs w:val="20"/>
                <w:lang w:eastAsia="pt-BR"/>
              </w:rPr>
            </w:pPr>
            <w:r w:rsidRPr="00292B32">
              <w:rPr>
                <w:rFonts w:eastAsia="Times New Roman" w:cstheme="minorHAnsi"/>
                <w:sz w:val="20"/>
                <w:szCs w:val="20"/>
                <w:lang w:eastAsia="pt-BR"/>
              </w:rPr>
              <w:t>Documento assinado eletronicamente por </w:t>
            </w:r>
            <w:r w:rsidRPr="00292B32">
              <w:rPr>
                <w:rFonts w:eastAsia="Times New Roman" w:cstheme="minorHAnsi"/>
                <w:b/>
                <w:bCs/>
                <w:sz w:val="20"/>
                <w:szCs w:val="20"/>
                <w:lang w:eastAsia="pt-BR"/>
              </w:rPr>
              <w:t>ANTONIO CARLOS ALENCAR DO NASCIMENTO</w:t>
            </w:r>
            <w:r w:rsidRPr="00292B32">
              <w:rPr>
                <w:rFonts w:eastAsia="Times New Roman" w:cstheme="minorHAnsi"/>
                <w:sz w:val="20"/>
                <w:szCs w:val="20"/>
                <w:lang w:eastAsia="pt-BR"/>
              </w:rPr>
              <w:t>, </w:t>
            </w:r>
            <w:r w:rsidRPr="00292B32">
              <w:rPr>
                <w:rFonts w:eastAsia="Times New Roman" w:cstheme="minorHAnsi"/>
                <w:b/>
                <w:bCs/>
                <w:sz w:val="20"/>
                <w:szCs w:val="20"/>
                <w:lang w:eastAsia="pt-BR"/>
              </w:rPr>
              <w:t>Coordenador(a)</w:t>
            </w:r>
            <w:r w:rsidRPr="00292B32">
              <w:rPr>
                <w:rFonts w:eastAsia="Times New Roman" w:cstheme="minorHAnsi"/>
                <w:sz w:val="20"/>
                <w:szCs w:val="20"/>
                <w:lang w:eastAsia="pt-BR"/>
              </w:rPr>
              <w:t>, em 25/10/2022, às 13:57, conforme horário oficial de Brasília, com fundamento no artigo 18 caput e seus §§ 1º e 2º, do </w:t>
            </w:r>
            <w:hyperlink r:id="rId7" w:tgtFrame="_blank" w:tooltip="Acesse o Decreto" w:history="1">
              <w:r w:rsidRPr="00292B32">
                <w:rPr>
                  <w:rFonts w:eastAsia="Times New Roman" w:cstheme="minorHAnsi"/>
                  <w:color w:val="0000FF"/>
                  <w:sz w:val="20"/>
                  <w:szCs w:val="20"/>
                  <w:u w:val="single"/>
                  <w:lang w:eastAsia="pt-BR"/>
                </w:rPr>
                <w:t>Decreto nº 21.794, de 5 Abril de 2017.</w:t>
              </w:r>
            </w:hyperlink>
          </w:p>
        </w:tc>
      </w:tr>
    </w:tbl>
    <w:p w14:paraId="3452078A" w14:textId="77777777" w:rsidR="00292B32" w:rsidRPr="00292B32" w:rsidRDefault="00C00B3C" w:rsidP="005E06F3">
      <w:pPr>
        <w:spacing w:after="60" w:line="240" w:lineRule="auto"/>
        <w:jc w:val="both"/>
        <w:rPr>
          <w:rFonts w:eastAsia="Times New Roman" w:cstheme="minorHAnsi"/>
          <w:color w:val="000000"/>
          <w:sz w:val="20"/>
          <w:szCs w:val="20"/>
          <w:lang w:eastAsia="pt-BR"/>
        </w:rPr>
      </w:pPr>
      <w:r>
        <w:rPr>
          <w:rFonts w:eastAsia="Times New Roman" w:cstheme="minorHAnsi"/>
          <w:color w:val="000000"/>
          <w:sz w:val="20"/>
          <w:szCs w:val="20"/>
          <w:lang w:eastAsia="pt-BR"/>
        </w:rPr>
        <w:pict w14:anchorId="7634D44D">
          <v:rect id="_x0000_i1026" style="width:0;height:1.5pt" o:hralign="center" o:hrstd="t" o:hr="t" fillcolor="#a0a0a0" stroked="f"/>
        </w:pict>
      </w:r>
    </w:p>
    <w:tbl>
      <w:tblPr>
        <w:tblW w:w="10859" w:type="dxa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365"/>
        <w:gridCol w:w="9494"/>
      </w:tblGrid>
      <w:tr w:rsidR="00292B32" w:rsidRPr="00292B32" w14:paraId="43BD4068" w14:textId="77777777" w:rsidTr="007C3B98">
        <w:trPr>
          <w:trHeight w:val="1371"/>
          <w:tblCellSpacing w:w="15" w:type="dxa"/>
        </w:trPr>
        <w:tc>
          <w:tcPr>
            <w:tcW w:w="0" w:type="auto"/>
            <w:vAlign w:val="center"/>
            <w:hideMark/>
          </w:tcPr>
          <w:p w14:paraId="49F80F86" w14:textId="5D3C67D4" w:rsidR="00292B32" w:rsidRPr="00292B32" w:rsidRDefault="00292B32" w:rsidP="005E06F3">
            <w:pPr>
              <w:spacing w:after="0" w:line="240" w:lineRule="auto"/>
              <w:jc w:val="both"/>
              <w:rPr>
                <w:rFonts w:eastAsia="Times New Roman" w:cstheme="minorHAnsi"/>
                <w:sz w:val="20"/>
                <w:szCs w:val="20"/>
                <w:lang w:eastAsia="pt-BR"/>
              </w:rPr>
            </w:pPr>
            <w:r w:rsidRPr="005E06F3">
              <w:rPr>
                <w:rFonts w:cstheme="minorHAnsi"/>
                <w:noProof/>
                <w:sz w:val="20"/>
                <w:szCs w:val="20"/>
              </w:rPr>
              <w:drawing>
                <wp:inline distT="0" distB="0" distL="0" distR="0" wp14:anchorId="63C18BA0" wp14:editId="6DC5EDB0">
                  <wp:extent cx="819150" cy="819150"/>
                  <wp:effectExtent l="0" t="0" r="0" b="0"/>
                  <wp:docPr id="1" name="Imagem 1" descr="Código QR&#10;&#10;Descrição gerada automaticament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Imagem 1" descr="Código QR&#10;&#10;Descrição gerada automaticamente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19150" cy="8191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vAlign w:val="center"/>
            <w:hideMark/>
          </w:tcPr>
          <w:p w14:paraId="4C787214" w14:textId="77777777" w:rsidR="00292B32" w:rsidRPr="00292B32" w:rsidRDefault="00292B32" w:rsidP="005E06F3">
            <w:pPr>
              <w:spacing w:after="0" w:line="240" w:lineRule="auto"/>
              <w:jc w:val="both"/>
              <w:rPr>
                <w:rFonts w:eastAsia="Times New Roman" w:cstheme="minorHAnsi"/>
                <w:sz w:val="20"/>
                <w:szCs w:val="20"/>
                <w:lang w:eastAsia="pt-BR"/>
              </w:rPr>
            </w:pPr>
            <w:r w:rsidRPr="00292B32">
              <w:rPr>
                <w:rFonts w:eastAsia="Times New Roman" w:cstheme="minorHAnsi"/>
                <w:sz w:val="20"/>
                <w:szCs w:val="20"/>
                <w:lang w:eastAsia="pt-BR"/>
              </w:rPr>
              <w:t>A autenticidade deste documento pode ser conferida no site </w:t>
            </w:r>
            <w:hyperlink r:id="rId9" w:tgtFrame="_blank" w:tooltip="Página de Autenticidade de Documentos" w:history="1">
              <w:r w:rsidRPr="00292B32">
                <w:rPr>
                  <w:rFonts w:eastAsia="Times New Roman" w:cstheme="minorHAnsi"/>
                  <w:color w:val="0000FF"/>
                  <w:sz w:val="20"/>
                  <w:szCs w:val="20"/>
                  <w:u w:val="single"/>
                  <w:lang w:eastAsia="pt-BR"/>
                </w:rPr>
                <w:t>portal do SEI</w:t>
              </w:r>
            </w:hyperlink>
            <w:r w:rsidRPr="00292B32">
              <w:rPr>
                <w:rFonts w:eastAsia="Times New Roman" w:cstheme="minorHAnsi"/>
                <w:sz w:val="20"/>
                <w:szCs w:val="20"/>
                <w:lang w:eastAsia="pt-BR"/>
              </w:rPr>
              <w:t>, informando o código verificador </w:t>
            </w:r>
            <w:r w:rsidRPr="00292B32">
              <w:rPr>
                <w:rFonts w:eastAsia="Times New Roman" w:cstheme="minorHAnsi"/>
                <w:b/>
                <w:bCs/>
                <w:sz w:val="20"/>
                <w:szCs w:val="20"/>
                <w:lang w:eastAsia="pt-BR"/>
              </w:rPr>
              <w:t>0033155476</w:t>
            </w:r>
            <w:r w:rsidRPr="00292B32">
              <w:rPr>
                <w:rFonts w:eastAsia="Times New Roman" w:cstheme="minorHAnsi"/>
                <w:sz w:val="20"/>
                <w:szCs w:val="20"/>
                <w:lang w:eastAsia="pt-BR"/>
              </w:rPr>
              <w:t> e o código CRC </w:t>
            </w:r>
            <w:r w:rsidRPr="00292B32">
              <w:rPr>
                <w:rFonts w:eastAsia="Times New Roman" w:cstheme="minorHAnsi"/>
                <w:b/>
                <w:bCs/>
                <w:sz w:val="20"/>
                <w:szCs w:val="20"/>
                <w:lang w:eastAsia="pt-BR"/>
              </w:rPr>
              <w:t>A13DF8C7</w:t>
            </w:r>
            <w:r w:rsidRPr="00292B32">
              <w:rPr>
                <w:rFonts w:eastAsia="Times New Roman" w:cstheme="minorHAnsi"/>
                <w:sz w:val="20"/>
                <w:szCs w:val="20"/>
                <w:lang w:eastAsia="pt-BR"/>
              </w:rPr>
              <w:t>.</w:t>
            </w:r>
          </w:p>
        </w:tc>
      </w:tr>
    </w:tbl>
    <w:p w14:paraId="4E5CB923" w14:textId="77777777" w:rsidR="00292B32" w:rsidRPr="00292B32" w:rsidRDefault="00C00B3C" w:rsidP="005E06F3">
      <w:pPr>
        <w:spacing w:before="15" w:after="15" w:line="240" w:lineRule="auto"/>
        <w:jc w:val="both"/>
        <w:rPr>
          <w:rFonts w:eastAsia="Times New Roman" w:cstheme="minorHAnsi"/>
          <w:color w:val="000000"/>
          <w:sz w:val="20"/>
          <w:szCs w:val="20"/>
          <w:lang w:eastAsia="pt-BR"/>
        </w:rPr>
      </w:pPr>
      <w:r>
        <w:rPr>
          <w:rFonts w:eastAsia="Times New Roman" w:cstheme="minorHAnsi"/>
          <w:color w:val="000000"/>
          <w:sz w:val="20"/>
          <w:szCs w:val="20"/>
          <w:lang w:eastAsia="pt-BR"/>
        </w:rPr>
        <w:pict w14:anchorId="13166A7F">
          <v:rect id="_x0000_i1027" style="width:0;height:1.5pt" o:hralign="center" o:hrstd="t" o:hr="t" fillcolor="#a0a0a0" stroked="f"/>
        </w:pict>
      </w:r>
    </w:p>
    <w:sectPr w:rsidR="00292B32" w:rsidRPr="00292B32" w:rsidSect="005E06F3">
      <w:pgSz w:w="11906" w:h="16838"/>
      <w:pgMar w:top="567" w:right="567" w:bottom="567" w:left="56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B3B5F04"/>
    <w:multiLevelType w:val="hybridMultilevel"/>
    <w:tmpl w:val="13E45378"/>
    <w:lvl w:ilvl="0" w:tplc="E7E01146">
      <w:numFmt w:val="bullet"/>
      <w:lvlText w:val=""/>
      <w:lvlJc w:val="left"/>
      <w:pPr>
        <w:ind w:left="720" w:hanging="360"/>
      </w:pPr>
      <w:rPr>
        <w:rFonts w:ascii="Symbol" w:eastAsia="Times New Roman" w:hAnsi="Symbol" w:cstheme="minorHAnsi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0371D1D"/>
    <w:multiLevelType w:val="hybridMultilevel"/>
    <w:tmpl w:val="3F0C2582"/>
    <w:lvl w:ilvl="0" w:tplc="1786B6FA">
      <w:numFmt w:val="bullet"/>
      <w:lvlText w:val=""/>
      <w:lvlJc w:val="left"/>
      <w:pPr>
        <w:ind w:left="720" w:hanging="360"/>
      </w:pPr>
      <w:rPr>
        <w:rFonts w:ascii="Symbol" w:eastAsia="Times New Roman" w:hAnsi="Symbol" w:cstheme="minorHAnsi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6CB446C"/>
    <w:multiLevelType w:val="hybridMultilevel"/>
    <w:tmpl w:val="8AD6B306"/>
    <w:lvl w:ilvl="0" w:tplc="11F4291C">
      <w:numFmt w:val="bullet"/>
      <w:lvlText w:val=""/>
      <w:lvlJc w:val="left"/>
      <w:pPr>
        <w:ind w:left="720" w:hanging="360"/>
      </w:pPr>
      <w:rPr>
        <w:rFonts w:ascii="Symbol" w:eastAsia="Times New Roman" w:hAnsi="Symbol" w:cstheme="minorHAnsi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7F594CEB"/>
    <w:multiLevelType w:val="hybridMultilevel"/>
    <w:tmpl w:val="CAEEAEB0"/>
    <w:lvl w:ilvl="0" w:tplc="F1E6C824">
      <w:numFmt w:val="bullet"/>
      <w:lvlText w:val=""/>
      <w:lvlJc w:val="left"/>
      <w:pPr>
        <w:ind w:left="720" w:hanging="360"/>
      </w:pPr>
      <w:rPr>
        <w:rFonts w:ascii="Symbol" w:eastAsia="Times New Roman" w:hAnsi="Symbol" w:cstheme="minorHAnsi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86314771">
    <w:abstractNumId w:val="3"/>
  </w:num>
  <w:num w:numId="2" w16cid:durableId="383910220">
    <w:abstractNumId w:val="0"/>
  </w:num>
  <w:num w:numId="3" w16cid:durableId="591670975">
    <w:abstractNumId w:val="1"/>
  </w:num>
  <w:num w:numId="4" w16cid:durableId="94387945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0681"/>
    <w:rsid w:val="00292B32"/>
    <w:rsid w:val="00580681"/>
    <w:rsid w:val="005E06F3"/>
    <w:rsid w:val="006829CD"/>
    <w:rsid w:val="007C3B98"/>
    <w:rsid w:val="00BC1342"/>
    <w:rsid w:val="00C00B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9"/>
    <o:shapelayout v:ext="edit">
      <o:idmap v:ext="edit" data="1"/>
    </o:shapelayout>
  </w:shapeDefaults>
  <w:decimalSymbol w:val=","/>
  <w:listSeparator w:val=";"/>
  <w14:docId w14:val="555F3E22"/>
  <w15:chartTrackingRefBased/>
  <w15:docId w15:val="{74FDAC20-972F-4611-9366-1DF7460C9F8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292B3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customStyle="1" w:styleId="textocentralizadomaiusculasnegrito">
    <w:name w:val="texto_centralizado_maiusculas_negrito"/>
    <w:basedOn w:val="Normal"/>
    <w:rsid w:val="00292B3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character" w:styleId="Forte">
    <w:name w:val="Strong"/>
    <w:basedOn w:val="Fontepargpadro"/>
    <w:uiPriority w:val="22"/>
    <w:qFormat/>
    <w:rsid w:val="00292B32"/>
    <w:rPr>
      <w:b/>
      <w:bCs/>
    </w:rPr>
  </w:style>
  <w:style w:type="paragraph" w:customStyle="1" w:styleId="textocentralizado">
    <w:name w:val="texto_centralizado"/>
    <w:basedOn w:val="Normal"/>
    <w:rsid w:val="00292B3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customStyle="1" w:styleId="textojustificadorecuoprimeiralinha">
    <w:name w:val="texto_justificado_recuo_primeira_linha"/>
    <w:basedOn w:val="Normal"/>
    <w:rsid w:val="00292B3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character" w:styleId="nfase">
    <w:name w:val="Emphasis"/>
    <w:basedOn w:val="Fontepargpadro"/>
    <w:uiPriority w:val="20"/>
    <w:qFormat/>
    <w:rsid w:val="00292B32"/>
    <w:rPr>
      <w:i/>
      <w:iCs/>
    </w:rPr>
  </w:style>
  <w:style w:type="paragraph" w:customStyle="1" w:styleId="textoalinhadodireita">
    <w:name w:val="texto_alinhado_direita"/>
    <w:basedOn w:val="Normal"/>
    <w:rsid w:val="00292B3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customStyle="1" w:styleId="textojustificado">
    <w:name w:val="texto_justificado"/>
    <w:basedOn w:val="Normal"/>
    <w:rsid w:val="00292B3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character" w:styleId="Hyperlink">
    <w:name w:val="Hyperlink"/>
    <w:basedOn w:val="Fontepargpadro"/>
    <w:uiPriority w:val="99"/>
    <w:semiHidden/>
    <w:unhideWhenUsed/>
    <w:rsid w:val="00292B32"/>
    <w:rPr>
      <w:color w:val="0000FF"/>
      <w:u w:val="single"/>
    </w:rPr>
  </w:style>
  <w:style w:type="paragraph" w:styleId="PargrafodaLista">
    <w:name w:val="List Paragraph"/>
    <w:basedOn w:val="Normal"/>
    <w:uiPriority w:val="34"/>
    <w:qFormat/>
    <w:rsid w:val="00BC134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85705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2275365">
          <w:marLeft w:val="0"/>
          <w:marRight w:val="0"/>
          <w:marTop w:val="0"/>
          <w:marBottom w:val="0"/>
          <w:divBdr>
            <w:top w:val="single" w:sz="12" w:space="3" w:color="777777"/>
            <w:left w:val="single" w:sz="12" w:space="3" w:color="777777"/>
            <w:bottom w:val="single" w:sz="12" w:space="3" w:color="777777"/>
            <w:right w:val="single" w:sz="12" w:space="3" w:color="777777"/>
          </w:divBdr>
        </w:div>
        <w:div w:id="15194619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2826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29421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73370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11410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34681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65940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46951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48465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56595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8565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20716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47102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99841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9789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83642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6207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23395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91998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28260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99051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76777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24482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78699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37924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96560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5173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6484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81744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63038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72010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175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99584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3778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6996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90807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21442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39771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99988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2337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5234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81839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98129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60280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33895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69455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99314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57182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27325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82495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449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39522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29958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601430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114803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3" Type="http://schemas.openxmlformats.org/officeDocument/2006/relationships/settings" Target="settings.xml"/><Relationship Id="rId7" Type="http://schemas.openxmlformats.org/officeDocument/2006/relationships/hyperlink" Target="http://www.diof.ro.gov.br/data/uploads/2017/04/Doe-05_04_2017.pdf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theme" Target="theme/theme1.xml"/><Relationship Id="rId5" Type="http://schemas.openxmlformats.org/officeDocument/2006/relationships/image" Target="media/image1.png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://sei.sistemas.ro.gov.br/sei/controlador_externo.php?acao=documento_conferir&amp;id_orgao_acesso_externo=0" TargetMode="Externa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3</Pages>
  <Words>1016</Words>
  <Characters>5492</Characters>
  <Application>Microsoft Office Word</Application>
  <DocSecurity>0</DocSecurity>
  <Lines>45</Lines>
  <Paragraphs>12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6496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Instrução Normativa nº 69/2022/GAB/CRE</dc:title>
  <dc:subject>ERRATA</dc:subject>
  <dc:creator>Mariana Cavalcante Maciel</dc:creator>
  <cp:keywords/>
  <dc:description/>
  <cp:lastModifiedBy>Mariana Cavalcante Maciel</cp:lastModifiedBy>
  <cp:revision>6</cp:revision>
  <cp:lastPrinted>2022-10-26T12:27:00Z</cp:lastPrinted>
  <dcterms:created xsi:type="dcterms:W3CDTF">2022-10-26T11:57:00Z</dcterms:created>
  <dcterms:modified xsi:type="dcterms:W3CDTF">2022-10-26T12:30:00Z</dcterms:modified>
</cp:coreProperties>
</file>