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71DC" w14:textId="77777777" w:rsidR="007D1712" w:rsidRPr="00943318" w:rsidRDefault="007D1712" w:rsidP="007D1712">
      <w:pPr>
        <w:spacing w:after="0" w:line="240" w:lineRule="auto"/>
        <w:rPr>
          <w:rFonts w:eastAsia="Times New Roman" w:cstheme="minorHAnsi"/>
          <w:color w:val="FF0000"/>
          <w:sz w:val="20"/>
          <w:szCs w:val="20"/>
          <w:lang w:eastAsia="pt-BR"/>
        </w:rPr>
      </w:pPr>
      <w:r w:rsidRPr="00943318">
        <w:rPr>
          <w:rFonts w:eastAsia="Times New Roman" w:cstheme="minorHAnsi"/>
          <w:color w:val="FF0000"/>
          <w:sz w:val="20"/>
          <w:szCs w:val="20"/>
          <w:lang w:eastAsia="pt-BR"/>
        </w:rPr>
        <w:t>* Este texto não substitui o publicado no DOE.</w:t>
      </w:r>
    </w:p>
    <w:p w14:paraId="1E541F70" w14:textId="77777777" w:rsidR="00492753" w:rsidRDefault="00492753" w:rsidP="00492753">
      <w:pPr>
        <w:spacing w:after="0" w:line="240" w:lineRule="auto"/>
        <w:rPr>
          <w:rFonts w:eastAsia="Times New Roman" w:cstheme="minorHAnsi"/>
          <w:color w:val="000000"/>
          <w:sz w:val="20"/>
          <w:szCs w:val="20"/>
          <w:lang w:eastAsia="pt-BR"/>
        </w:rPr>
      </w:pPr>
    </w:p>
    <w:p w14:paraId="2FFF82F8" w14:textId="5D3D9398" w:rsidR="00492753" w:rsidRPr="00492753" w:rsidRDefault="00492753" w:rsidP="00492753">
      <w:pPr>
        <w:spacing w:after="0" w:line="240" w:lineRule="auto"/>
        <w:rPr>
          <w:rFonts w:eastAsia="Times New Roman" w:cstheme="minorHAnsi"/>
          <w:color w:val="000000"/>
          <w:sz w:val="20"/>
          <w:szCs w:val="20"/>
          <w:lang w:eastAsia="pt-BR"/>
        </w:rPr>
      </w:pPr>
      <w:r w:rsidRPr="00492753">
        <w:rPr>
          <w:rFonts w:eastAsia="Times New Roman" w:cstheme="minorHAnsi"/>
          <w:color w:val="000000"/>
          <w:sz w:val="20"/>
          <w:szCs w:val="20"/>
          <w:lang w:eastAsia="pt-BR"/>
        </w:rPr>
        <w:t>Diário Oficial do Estado de Rondônia nº 35</w:t>
      </w:r>
      <w:r w:rsidRPr="00492753">
        <w:rPr>
          <w:rFonts w:eastAsia="Times New Roman" w:cstheme="minorHAnsi"/>
          <w:color w:val="000000"/>
          <w:sz w:val="20"/>
          <w:szCs w:val="20"/>
          <w:lang w:eastAsia="pt-BR"/>
        </w:rPr>
        <w:br/>
        <w:t>Disponibilização: 23/02/2022</w:t>
      </w:r>
      <w:r w:rsidRPr="00492753">
        <w:rPr>
          <w:rFonts w:eastAsia="Times New Roman" w:cstheme="minorHAnsi"/>
          <w:color w:val="000000"/>
          <w:sz w:val="20"/>
          <w:szCs w:val="20"/>
          <w:lang w:eastAsia="pt-BR"/>
        </w:rPr>
        <w:br/>
        <w:t>Publicação: 22/02/2022</w:t>
      </w:r>
    </w:p>
    <w:p w14:paraId="7850389B" w14:textId="5F81841A" w:rsidR="00492753" w:rsidRPr="00492753" w:rsidRDefault="00492753" w:rsidP="00492753">
      <w:pPr>
        <w:spacing w:after="0" w:line="240" w:lineRule="auto"/>
        <w:jc w:val="center"/>
        <w:rPr>
          <w:rFonts w:eastAsia="Times New Roman" w:cstheme="minorHAnsi"/>
          <w:color w:val="000000"/>
          <w:sz w:val="24"/>
          <w:szCs w:val="24"/>
          <w:lang w:eastAsia="pt-BR"/>
        </w:rPr>
      </w:pPr>
      <w:r w:rsidRPr="00492753">
        <w:rPr>
          <w:rFonts w:cstheme="minorHAnsi"/>
          <w:noProof/>
          <w:sz w:val="24"/>
          <w:szCs w:val="24"/>
        </w:rPr>
        <w:drawing>
          <wp:inline distT="0" distB="0" distL="0" distR="0" wp14:anchorId="3169DC1A" wp14:editId="38B3A9B0">
            <wp:extent cx="935990" cy="720725"/>
            <wp:effectExtent l="0" t="0" r="0" b="3175"/>
            <wp:docPr id="4" name="Imagem 4"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Logotipo&#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720725"/>
                    </a:xfrm>
                    <a:prstGeom prst="rect">
                      <a:avLst/>
                    </a:prstGeom>
                    <a:noFill/>
                    <a:ln>
                      <a:noFill/>
                    </a:ln>
                  </pic:spPr>
                </pic:pic>
              </a:graphicData>
            </a:graphic>
          </wp:inline>
        </w:drawing>
      </w:r>
    </w:p>
    <w:p w14:paraId="389886AC" w14:textId="77777777" w:rsidR="00492753" w:rsidRPr="00492753" w:rsidRDefault="00492753" w:rsidP="00492753">
      <w:pPr>
        <w:spacing w:after="0" w:line="240" w:lineRule="auto"/>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br/>
        <w:t>Casa Civil - CASA CIVIL</w:t>
      </w:r>
      <w:r w:rsidRPr="00492753">
        <w:rPr>
          <w:rFonts w:eastAsia="Times New Roman" w:cstheme="minorHAnsi"/>
          <w:color w:val="000000"/>
          <w:sz w:val="24"/>
          <w:szCs w:val="24"/>
          <w:lang w:eastAsia="pt-BR"/>
        </w:rPr>
        <w:br/>
        <w:t>  </w:t>
      </w:r>
    </w:p>
    <w:p w14:paraId="4E7351C5" w14:textId="3BDAE6AE" w:rsidR="00492753" w:rsidRDefault="00492753" w:rsidP="00492753">
      <w:pPr>
        <w:spacing w:before="120" w:after="120" w:line="240" w:lineRule="auto"/>
        <w:ind w:left="120" w:right="12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DECRETO N° 26.923, DE 22 DE FEVEREIRO DE 2022.     </w:t>
      </w:r>
    </w:p>
    <w:p w14:paraId="57D07C53" w14:textId="77777777" w:rsidR="00C658D3" w:rsidRPr="00492753" w:rsidRDefault="00C658D3" w:rsidP="00492753">
      <w:pPr>
        <w:spacing w:before="120" w:after="120" w:line="240" w:lineRule="auto"/>
        <w:ind w:left="120" w:right="120"/>
        <w:jc w:val="center"/>
        <w:rPr>
          <w:rFonts w:eastAsia="Times New Roman" w:cstheme="minorHAnsi"/>
          <w:color w:val="000000"/>
          <w:sz w:val="24"/>
          <w:szCs w:val="24"/>
          <w:lang w:eastAsia="pt-BR"/>
        </w:rPr>
      </w:pPr>
    </w:p>
    <w:p w14:paraId="64C17550" w14:textId="4D53D790" w:rsidR="007D1712" w:rsidRDefault="00C658D3" w:rsidP="00C658D3">
      <w:pPr>
        <w:spacing w:after="0" w:line="240" w:lineRule="auto"/>
        <w:ind w:left="3402"/>
        <w:jc w:val="both"/>
        <w:rPr>
          <w:rFonts w:eastAsia="Times New Roman" w:cstheme="minorHAnsi"/>
          <w:color w:val="000000"/>
          <w:sz w:val="24"/>
          <w:szCs w:val="24"/>
          <w:lang w:eastAsia="pt-BR"/>
        </w:rPr>
      </w:pPr>
      <w:r>
        <w:rPr>
          <w:color w:val="000000"/>
        </w:rPr>
        <w:t>Altera e acresce dispositivos ao Regulamento do Imposto sobre Operações Relativas à Circulação de Mercadorias e sobre Prestações de Serviços de Transporte Interestadual e Intermunicipal e de Comunicação - RICMS/RO, aprovado pelo Decreto n° 22.721, de 5 de abril de 2018, no âmbito do CONFAZ, com alterações oriundas de Convênios ICMS.</w:t>
      </w:r>
    </w:p>
    <w:p w14:paraId="6EC45A03" w14:textId="6ABCB6E6"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7DBE048C"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O GOVERNADOR DO ESTADO DE RONDÔNIA, no uso das atribuições que lhe confere o inciso V do artigo 65 da Constituição do Estado,</w:t>
      </w:r>
    </w:p>
    <w:p w14:paraId="7DC15894"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7D70315B"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u w:val="single"/>
          <w:lang w:eastAsia="pt-BR"/>
        </w:rPr>
        <w:t>D</w:t>
      </w:r>
      <w:r w:rsidRPr="00492753">
        <w:rPr>
          <w:rFonts w:eastAsia="Times New Roman" w:cstheme="minorHAnsi"/>
          <w:color w:val="000000"/>
          <w:sz w:val="24"/>
          <w:szCs w:val="24"/>
          <w:lang w:eastAsia="pt-BR"/>
        </w:rPr>
        <w:t> </w:t>
      </w:r>
      <w:r w:rsidRPr="00492753">
        <w:rPr>
          <w:rFonts w:eastAsia="Times New Roman" w:cstheme="minorHAnsi"/>
          <w:color w:val="000000"/>
          <w:sz w:val="24"/>
          <w:szCs w:val="24"/>
          <w:u w:val="single"/>
          <w:lang w:eastAsia="pt-BR"/>
        </w:rPr>
        <w:t>E</w:t>
      </w:r>
      <w:r w:rsidRPr="00492753">
        <w:rPr>
          <w:rFonts w:eastAsia="Times New Roman" w:cstheme="minorHAnsi"/>
          <w:color w:val="000000"/>
          <w:sz w:val="24"/>
          <w:szCs w:val="24"/>
          <w:lang w:eastAsia="pt-BR"/>
        </w:rPr>
        <w:t> </w:t>
      </w:r>
      <w:r w:rsidRPr="00492753">
        <w:rPr>
          <w:rFonts w:eastAsia="Times New Roman" w:cstheme="minorHAnsi"/>
          <w:color w:val="000000"/>
          <w:sz w:val="24"/>
          <w:szCs w:val="24"/>
          <w:u w:val="single"/>
          <w:lang w:eastAsia="pt-BR"/>
        </w:rPr>
        <w:t>C</w:t>
      </w:r>
      <w:r w:rsidRPr="00492753">
        <w:rPr>
          <w:rFonts w:eastAsia="Times New Roman" w:cstheme="minorHAnsi"/>
          <w:color w:val="000000"/>
          <w:sz w:val="24"/>
          <w:szCs w:val="24"/>
          <w:lang w:eastAsia="pt-BR"/>
        </w:rPr>
        <w:t> </w:t>
      </w:r>
      <w:r w:rsidRPr="00492753">
        <w:rPr>
          <w:rFonts w:eastAsia="Times New Roman" w:cstheme="minorHAnsi"/>
          <w:color w:val="000000"/>
          <w:sz w:val="24"/>
          <w:szCs w:val="24"/>
          <w:u w:val="single"/>
          <w:lang w:eastAsia="pt-BR"/>
        </w:rPr>
        <w:t>R</w:t>
      </w:r>
      <w:r w:rsidRPr="00492753">
        <w:rPr>
          <w:rFonts w:eastAsia="Times New Roman" w:cstheme="minorHAnsi"/>
          <w:color w:val="000000"/>
          <w:sz w:val="24"/>
          <w:szCs w:val="24"/>
          <w:lang w:eastAsia="pt-BR"/>
        </w:rPr>
        <w:t> </w:t>
      </w:r>
      <w:r w:rsidRPr="00492753">
        <w:rPr>
          <w:rFonts w:eastAsia="Times New Roman" w:cstheme="minorHAnsi"/>
          <w:color w:val="000000"/>
          <w:sz w:val="24"/>
          <w:szCs w:val="24"/>
          <w:u w:val="single"/>
          <w:lang w:eastAsia="pt-BR"/>
        </w:rPr>
        <w:t>E</w:t>
      </w:r>
      <w:r w:rsidRPr="00492753">
        <w:rPr>
          <w:rFonts w:eastAsia="Times New Roman" w:cstheme="minorHAnsi"/>
          <w:color w:val="000000"/>
          <w:sz w:val="24"/>
          <w:szCs w:val="24"/>
          <w:lang w:eastAsia="pt-BR"/>
        </w:rPr>
        <w:t> </w:t>
      </w:r>
      <w:r w:rsidRPr="00492753">
        <w:rPr>
          <w:rFonts w:eastAsia="Times New Roman" w:cstheme="minorHAnsi"/>
          <w:color w:val="000000"/>
          <w:sz w:val="24"/>
          <w:szCs w:val="24"/>
          <w:u w:val="single"/>
          <w:lang w:eastAsia="pt-BR"/>
        </w:rPr>
        <w:t>T</w:t>
      </w:r>
      <w:r w:rsidRPr="00492753">
        <w:rPr>
          <w:rFonts w:eastAsia="Times New Roman" w:cstheme="minorHAnsi"/>
          <w:color w:val="000000"/>
          <w:sz w:val="24"/>
          <w:szCs w:val="24"/>
          <w:lang w:eastAsia="pt-BR"/>
        </w:rPr>
        <w:t> </w:t>
      </w:r>
      <w:r w:rsidRPr="00492753">
        <w:rPr>
          <w:rFonts w:eastAsia="Times New Roman" w:cstheme="minorHAnsi"/>
          <w:color w:val="000000"/>
          <w:sz w:val="24"/>
          <w:szCs w:val="24"/>
          <w:u w:val="single"/>
          <w:lang w:eastAsia="pt-BR"/>
        </w:rPr>
        <w:t>A</w:t>
      </w:r>
      <w:r w:rsidRPr="00492753">
        <w:rPr>
          <w:rFonts w:eastAsia="Times New Roman" w:cstheme="minorHAnsi"/>
          <w:color w:val="000000"/>
          <w:sz w:val="24"/>
          <w:szCs w:val="24"/>
          <w:lang w:eastAsia="pt-BR"/>
        </w:rPr>
        <w:t>:</w:t>
      </w:r>
    </w:p>
    <w:p w14:paraId="5422592F"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44C433EB"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Art. 1°  O art. 356, o </w:t>
      </w:r>
      <w:r w:rsidRPr="00492753">
        <w:rPr>
          <w:rFonts w:eastAsia="Times New Roman" w:cstheme="minorHAnsi"/>
          <w:b/>
          <w:bCs/>
          <w:color w:val="000000"/>
          <w:sz w:val="24"/>
          <w:szCs w:val="24"/>
          <w:lang w:eastAsia="pt-BR"/>
        </w:rPr>
        <w:t>caput</w:t>
      </w:r>
      <w:r w:rsidRPr="00492753">
        <w:rPr>
          <w:rFonts w:eastAsia="Times New Roman" w:cstheme="minorHAnsi"/>
          <w:color w:val="000000"/>
          <w:sz w:val="24"/>
          <w:szCs w:val="24"/>
          <w:lang w:eastAsia="pt-BR"/>
        </w:rPr>
        <w:t> do art. 357, o art. 358 e o </w:t>
      </w:r>
      <w:r w:rsidRPr="00492753">
        <w:rPr>
          <w:rFonts w:eastAsia="Times New Roman" w:cstheme="minorHAnsi"/>
          <w:b/>
          <w:bCs/>
          <w:color w:val="000000"/>
          <w:sz w:val="24"/>
          <w:szCs w:val="24"/>
          <w:lang w:eastAsia="pt-BR"/>
        </w:rPr>
        <w:t>caput</w:t>
      </w:r>
      <w:r w:rsidRPr="00492753">
        <w:rPr>
          <w:rFonts w:eastAsia="Times New Roman" w:cstheme="minorHAnsi"/>
          <w:color w:val="000000"/>
          <w:sz w:val="24"/>
          <w:szCs w:val="24"/>
          <w:lang w:eastAsia="pt-BR"/>
        </w:rPr>
        <w:t> do art. 385 todos do Capítulo I da Parte 5 do Anexo X do Regulamento do Imposto sobre Operações Relativas à Circulação de Mercadorias e sobre Prestações de Serviços de Transporte Interestadual e Intermunicipal e de Comunicação - RICMS/RO, aprovado pelo Decreto n° 22.721, de 5 de abril de 2018, passam a vigorar com as seguintes alterações: (Convênio ICMS 143/21, efeitos a partir de 1°/11/2021)</w:t>
      </w:r>
    </w:p>
    <w:p w14:paraId="3608A207"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043CB05A"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“Art. 356.  Aplicam-se, no que couber, às CPQ, às UPGN e aos formuladores, as normas contidas neste Capítulo aplicáveis à refinaria de petróleo ou suas bases. (Convênio ICMS 110/07, cláusula quarta)</w:t>
      </w:r>
    </w:p>
    <w:p w14:paraId="27461CF3"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47D16F38"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Art. 357. Ficam obrigados a inscrever-se no CAD/ICMS-RO a refinaria de petróleo ou suas bases, o formulador, a distribuidora de combustíveis, o distribuidor de GLP, o importador e o TRR localizados em outra unidade federada que efetuem remessa de combustíveis derivados de petróleo para o Estado de Rondônia ou que adquiram EAC ou B100 com diferimento ou suspensão do imposto. (Convênio ICMS 110/07, cláusula quinta)</w:t>
      </w:r>
    </w:p>
    <w:p w14:paraId="48A4821F"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6A20C3BD"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w:t>
      </w:r>
    </w:p>
    <w:p w14:paraId="060219C2"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19A2D0C4"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Art. 358.  A refinaria de petróleo ou suas bases ou o formulador que, em razão das disposições contidas no art. 374, tenham que efetuar repasse do imposto para o Estado de Rondônia, deverão inscrever-se no CAD/ICMS-RO. (Convênio ICMS 110/07, cláusula sexta)</w:t>
      </w:r>
    </w:p>
    <w:p w14:paraId="162FA5E7"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3CFC5953"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w:t>
      </w:r>
    </w:p>
    <w:p w14:paraId="37FB86CA"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476ED1B8"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Art. 385.  Na falta da inscrição prevista no art. 357, a refinaria de petróleo ou suas bases, o formulador, a distribuidora de combustíveis, o distribuidor de GLP, o importador ou o TRR, por ocasião da saída do produto de seu estabelecimento, deverá recolher, por meio de GNRE, o imposto devido nas operações subsequentes em favor da unidade federada de destino, devendo uma cópia do comprovante do pagamento do imposto acompanhar o seu transporte. (Convênio ICMS 110/07, cláusula trigésima segunda)</w:t>
      </w:r>
    </w:p>
    <w:p w14:paraId="01704DA0"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lastRenderedPageBreak/>
        <w:t> </w:t>
      </w:r>
    </w:p>
    <w:p w14:paraId="4C5E9511"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(NR).</w:t>
      </w:r>
    </w:p>
    <w:p w14:paraId="638991E1"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2FAE4ED7"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Art. 2°  Acresce os dispositivos adiante enumerados ao RICMS/RO, aprovado pelo Decreto n° 22.721, de 2018, com as seguintes redações:</w:t>
      </w:r>
    </w:p>
    <w:p w14:paraId="4D134960"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77F2B559"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I - o item 101 à Parte 2 do Anexo I: (Convênio ICMS 131/21, efeitos a partir de 1°/01/2023)</w:t>
      </w:r>
    </w:p>
    <w:p w14:paraId="3524107E"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439980AC"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“101</w:t>
      </w:r>
      <w:bookmarkStart w:id="0" w:name="_Hlk83283880"/>
      <w:r w:rsidRPr="00492753">
        <w:rPr>
          <w:rFonts w:eastAsia="Times New Roman" w:cstheme="minorHAnsi"/>
          <w:color w:val="000000"/>
          <w:sz w:val="24"/>
          <w:szCs w:val="24"/>
          <w:lang w:eastAsia="pt-BR"/>
        </w:rPr>
        <w:t xml:space="preserve">.  As operações com </w:t>
      </w:r>
      <w:proofErr w:type="spellStart"/>
      <w:r w:rsidRPr="00492753">
        <w:rPr>
          <w:rFonts w:eastAsia="Times New Roman" w:cstheme="minorHAnsi"/>
          <w:color w:val="000000"/>
          <w:sz w:val="24"/>
          <w:szCs w:val="24"/>
          <w:lang w:eastAsia="pt-BR"/>
        </w:rPr>
        <w:t>radiofármacos</w:t>
      </w:r>
      <w:proofErr w:type="spellEnd"/>
      <w:r w:rsidRPr="00492753">
        <w:rPr>
          <w:rFonts w:eastAsia="Times New Roman" w:cstheme="minorHAnsi"/>
          <w:color w:val="000000"/>
          <w:sz w:val="24"/>
          <w:szCs w:val="24"/>
          <w:lang w:eastAsia="pt-BR"/>
        </w:rPr>
        <w:t xml:space="preserve">, radioisótopos e fármacos utilizados exclusivamente para </w:t>
      </w:r>
      <w:proofErr w:type="spellStart"/>
      <w:r w:rsidRPr="00492753">
        <w:rPr>
          <w:rFonts w:eastAsia="Times New Roman" w:cstheme="minorHAnsi"/>
          <w:color w:val="000000"/>
          <w:sz w:val="24"/>
          <w:szCs w:val="24"/>
          <w:lang w:eastAsia="pt-BR"/>
        </w:rPr>
        <w:t>radiomarcação</w:t>
      </w:r>
      <w:proofErr w:type="spellEnd"/>
      <w:r w:rsidRPr="00492753">
        <w:rPr>
          <w:rFonts w:eastAsia="Times New Roman" w:cstheme="minorHAnsi"/>
          <w:color w:val="000000"/>
          <w:sz w:val="24"/>
          <w:szCs w:val="24"/>
          <w:lang w:eastAsia="pt-BR"/>
        </w:rPr>
        <w:t xml:space="preserve"> empregados em procedimentos de medicina nuclear, realizadas no âmbito do Sistema Único de Saúde - SUS</w:t>
      </w:r>
      <w:bookmarkEnd w:id="0"/>
      <w:r w:rsidRPr="00492753">
        <w:rPr>
          <w:rFonts w:eastAsia="Times New Roman" w:cstheme="minorHAnsi"/>
          <w:color w:val="000000"/>
          <w:sz w:val="24"/>
          <w:szCs w:val="24"/>
          <w:lang w:eastAsia="pt-BR"/>
        </w:rPr>
        <w:t>, relacionados na Tabela 9 da Parte 4 deste Anexo.</w:t>
      </w:r>
    </w:p>
    <w:p w14:paraId="72EA2A96"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1C70B01C"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Nota 1.  A fruição do benefício de que trata este item fica condicionada:</w:t>
      </w:r>
    </w:p>
    <w:p w14:paraId="2A20E024"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4A4380DF"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I - à concessão de isenção ou tributação com alíquota zero pelo Imposto de Importação ou pelo Imposto sobre Produtos Industrializados;</w:t>
      </w:r>
    </w:p>
    <w:p w14:paraId="1AB3C2E8"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7D48F43A"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II - à desoneração das </w:t>
      </w:r>
      <w:bookmarkStart w:id="1" w:name="_Hlk83283999"/>
      <w:r w:rsidRPr="00492753">
        <w:rPr>
          <w:rFonts w:eastAsia="Times New Roman" w:cstheme="minorHAnsi"/>
          <w:color w:val="000000"/>
          <w:sz w:val="24"/>
          <w:szCs w:val="24"/>
          <w:lang w:eastAsia="pt-BR"/>
        </w:rPr>
        <w:t>contribuições para os Programas de Integração Social e de Formação do Patrimônio do Servidor Público - PIS/PASEP e da Contribuição para o Financiamento da Seguridade Social - COFINS</w:t>
      </w:r>
      <w:bookmarkEnd w:id="1"/>
      <w:r w:rsidRPr="00492753">
        <w:rPr>
          <w:rFonts w:eastAsia="Times New Roman" w:cstheme="minorHAnsi"/>
          <w:color w:val="000000"/>
          <w:sz w:val="24"/>
          <w:szCs w:val="24"/>
          <w:lang w:eastAsia="pt-BR"/>
        </w:rPr>
        <w:t>;</w:t>
      </w:r>
    </w:p>
    <w:p w14:paraId="72CE4CE1"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6F683EA9"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III - a que o valor correspondente </w:t>
      </w:r>
      <w:bookmarkStart w:id="2" w:name="_Hlk83284054"/>
      <w:r w:rsidRPr="00492753">
        <w:rPr>
          <w:rFonts w:eastAsia="Times New Roman" w:cstheme="minorHAnsi"/>
          <w:color w:val="000000"/>
          <w:sz w:val="24"/>
          <w:szCs w:val="24"/>
          <w:lang w:eastAsia="pt-BR"/>
        </w:rPr>
        <w:t>à isenção do ICMS seja deduzido do preço do respectivo produto, devendo o contribuinte demonstrar a dedução, expressamente, no documento fisca</w:t>
      </w:r>
      <w:bookmarkEnd w:id="2"/>
      <w:r w:rsidRPr="00492753">
        <w:rPr>
          <w:rFonts w:eastAsia="Times New Roman" w:cstheme="minorHAnsi"/>
          <w:color w:val="000000"/>
          <w:sz w:val="24"/>
          <w:szCs w:val="24"/>
          <w:lang w:eastAsia="pt-BR"/>
        </w:rPr>
        <w:t>l.</w:t>
      </w:r>
    </w:p>
    <w:p w14:paraId="0D38BB08"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546BC918"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Nota 2.  Não será exigido o estorno do crédito fiscal de que trata o art. 47 deste Regulamento, em relação às operações beneficiadas com a isenção prevista neste item.” (NR);</w:t>
      </w:r>
    </w:p>
    <w:p w14:paraId="460E777C"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340A9AC0"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II - os itens 83 a 169 à Tabela 2 da Parte 4 do Anexo I: (Convênio ICMS 132/21, efeitos a partir de 1°/01/2023)</w:t>
      </w:r>
    </w:p>
    <w:p w14:paraId="15DF9543"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3D6DF931"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2"/>
        <w:gridCol w:w="9048"/>
      </w:tblGrid>
      <w:tr w:rsidR="00492753" w:rsidRPr="00492753" w14:paraId="5A97250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D9C13"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9657D"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MEDICAMENTO</w:t>
            </w:r>
          </w:p>
        </w:tc>
      </w:tr>
      <w:tr w:rsidR="00492753" w:rsidRPr="00492753" w14:paraId="7BB4D12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57036"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EB78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Abemaciclibe</w:t>
            </w:r>
            <w:proofErr w:type="spellEnd"/>
          </w:p>
        </w:tc>
      </w:tr>
      <w:tr w:rsidR="00492753" w:rsidRPr="00492753" w14:paraId="64E64A3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C9784C"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8EA6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Acalabrutinibe</w:t>
            </w:r>
            <w:proofErr w:type="spellEnd"/>
          </w:p>
        </w:tc>
      </w:tr>
      <w:tr w:rsidR="00492753" w:rsidRPr="00492753" w14:paraId="684765E7"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ADC8D"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BF79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Acetato de </w:t>
            </w:r>
            <w:proofErr w:type="spellStart"/>
            <w:r w:rsidRPr="00492753">
              <w:rPr>
                <w:rFonts w:eastAsia="Times New Roman" w:cstheme="minorHAnsi"/>
                <w:color w:val="000000"/>
                <w:sz w:val="24"/>
                <w:szCs w:val="24"/>
                <w:lang w:eastAsia="pt-BR"/>
              </w:rPr>
              <w:t>abiraterona</w:t>
            </w:r>
            <w:proofErr w:type="spellEnd"/>
          </w:p>
        </w:tc>
      </w:tr>
      <w:tr w:rsidR="00492753" w:rsidRPr="00492753" w14:paraId="217D4F50"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D324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E7BB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Acetato de </w:t>
            </w:r>
            <w:proofErr w:type="spellStart"/>
            <w:r w:rsidRPr="00492753">
              <w:rPr>
                <w:rFonts w:eastAsia="Times New Roman" w:cstheme="minorHAnsi"/>
                <w:color w:val="000000"/>
                <w:sz w:val="24"/>
                <w:szCs w:val="24"/>
                <w:lang w:eastAsia="pt-BR"/>
              </w:rPr>
              <w:t>degarelix</w:t>
            </w:r>
            <w:proofErr w:type="spellEnd"/>
            <w:r w:rsidRPr="00492753">
              <w:rPr>
                <w:rFonts w:eastAsia="Times New Roman" w:cstheme="minorHAnsi"/>
                <w:color w:val="000000"/>
                <w:sz w:val="24"/>
                <w:szCs w:val="24"/>
                <w:lang w:eastAsia="pt-BR"/>
              </w:rPr>
              <w:t> </w:t>
            </w:r>
          </w:p>
        </w:tc>
      </w:tr>
      <w:tr w:rsidR="00492753" w:rsidRPr="00492753" w14:paraId="20E059B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8612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7AF1"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Aflibercepte</w:t>
            </w:r>
            <w:proofErr w:type="spellEnd"/>
          </w:p>
        </w:tc>
      </w:tr>
      <w:tr w:rsidR="00492753" w:rsidRPr="00492753" w14:paraId="304D16C2"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EF6CE"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F2C8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Alfaepoetina</w:t>
            </w:r>
            <w:proofErr w:type="spellEnd"/>
          </w:p>
        </w:tc>
      </w:tr>
      <w:tr w:rsidR="00492753" w:rsidRPr="00492753" w14:paraId="3DFB14AF"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EDBC8"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2502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Alfatirotropina</w:t>
            </w:r>
            <w:proofErr w:type="spellEnd"/>
          </w:p>
        </w:tc>
      </w:tr>
      <w:tr w:rsidR="00492753" w:rsidRPr="00492753" w14:paraId="54F41408"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54FEB"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7DC1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Alpelisibe</w:t>
            </w:r>
            <w:proofErr w:type="spellEnd"/>
          </w:p>
        </w:tc>
      </w:tr>
      <w:tr w:rsidR="00492753" w:rsidRPr="00492753" w14:paraId="78A9977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16C65"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83156"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Apalutamida</w:t>
            </w:r>
            <w:proofErr w:type="spellEnd"/>
          </w:p>
        </w:tc>
      </w:tr>
      <w:tr w:rsidR="00492753" w:rsidRPr="00492753" w14:paraId="3F0B4A2D"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5A22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A82D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Aprepitanto</w:t>
            </w:r>
            <w:proofErr w:type="spellEnd"/>
          </w:p>
        </w:tc>
      </w:tr>
      <w:tr w:rsidR="00492753" w:rsidRPr="00492753" w14:paraId="439EC750"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97DC9"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B4EE6"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Atezolizumabe</w:t>
            </w:r>
            <w:proofErr w:type="spellEnd"/>
          </w:p>
        </w:tc>
      </w:tr>
      <w:tr w:rsidR="00492753" w:rsidRPr="00492753" w14:paraId="4C49DEF3"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12845"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2C198"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Avelumabe</w:t>
            </w:r>
            <w:proofErr w:type="spellEnd"/>
          </w:p>
        </w:tc>
      </w:tr>
      <w:tr w:rsidR="00492753" w:rsidRPr="00492753" w14:paraId="4EE106B0"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AFE7F"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22F64"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Axitinibe</w:t>
            </w:r>
            <w:proofErr w:type="spellEnd"/>
          </w:p>
        </w:tc>
      </w:tr>
      <w:tr w:rsidR="00492753" w:rsidRPr="00492753" w14:paraId="5C9FD154"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A755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4578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Blinatumomabe</w:t>
            </w:r>
            <w:proofErr w:type="spellEnd"/>
          </w:p>
        </w:tc>
      </w:tr>
      <w:tr w:rsidR="00492753" w:rsidRPr="00492753" w14:paraId="72837A4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E6F2F"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C5EF3"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Brentuximabe</w:t>
            </w:r>
            <w:proofErr w:type="spellEnd"/>
            <w:r w:rsidRPr="00492753">
              <w:rPr>
                <w:rFonts w:eastAsia="Times New Roman" w:cstheme="minorHAnsi"/>
                <w:color w:val="000000"/>
                <w:sz w:val="24"/>
                <w:szCs w:val="24"/>
                <w:lang w:eastAsia="pt-BR"/>
              </w:rPr>
              <w:t xml:space="preserve"> </w:t>
            </w:r>
            <w:proofErr w:type="spellStart"/>
            <w:r w:rsidRPr="00492753">
              <w:rPr>
                <w:rFonts w:eastAsia="Times New Roman" w:cstheme="minorHAnsi"/>
                <w:color w:val="000000"/>
                <w:sz w:val="24"/>
                <w:szCs w:val="24"/>
                <w:lang w:eastAsia="pt-BR"/>
              </w:rPr>
              <w:t>vedotina</w:t>
            </w:r>
            <w:proofErr w:type="spellEnd"/>
          </w:p>
        </w:tc>
      </w:tr>
      <w:tr w:rsidR="00492753" w:rsidRPr="00492753" w14:paraId="64C929B9"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7B6A3"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65CF7"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Brigatinibe</w:t>
            </w:r>
            <w:proofErr w:type="spellEnd"/>
          </w:p>
        </w:tc>
      </w:tr>
      <w:tr w:rsidR="00492753" w:rsidRPr="00492753" w14:paraId="113A9547"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28EAD"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84EFA"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Cabazitaxel</w:t>
            </w:r>
            <w:proofErr w:type="spellEnd"/>
          </w:p>
        </w:tc>
      </w:tr>
      <w:tr w:rsidR="00492753" w:rsidRPr="00492753" w14:paraId="4AA8D5D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7D9113"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35E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Carfilzomibe</w:t>
            </w:r>
            <w:proofErr w:type="spellEnd"/>
          </w:p>
        </w:tc>
      </w:tr>
      <w:tr w:rsidR="00492753" w:rsidRPr="00492753" w14:paraId="38F57AE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13010"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lastRenderedPageBreak/>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DB92A"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Cisplatinum</w:t>
            </w:r>
            <w:proofErr w:type="spellEnd"/>
          </w:p>
        </w:tc>
      </w:tr>
      <w:tr w:rsidR="00492753" w:rsidRPr="00492753" w14:paraId="22CE28C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94A2F"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FCB7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Citrato de </w:t>
            </w:r>
            <w:proofErr w:type="spellStart"/>
            <w:r w:rsidRPr="00492753">
              <w:rPr>
                <w:rFonts w:eastAsia="Times New Roman" w:cstheme="minorHAnsi"/>
                <w:color w:val="000000"/>
                <w:sz w:val="24"/>
                <w:szCs w:val="24"/>
                <w:lang w:eastAsia="pt-BR"/>
              </w:rPr>
              <w:t>ixazomibe</w:t>
            </w:r>
            <w:proofErr w:type="spellEnd"/>
          </w:p>
        </w:tc>
      </w:tr>
      <w:tr w:rsidR="00492753" w:rsidRPr="00492753" w14:paraId="2DE12B3F"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FB7EE"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00A8A"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Cladribina</w:t>
            </w:r>
            <w:proofErr w:type="spellEnd"/>
          </w:p>
        </w:tc>
      </w:tr>
      <w:tr w:rsidR="00492753" w:rsidRPr="00492753" w14:paraId="20A9E8E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4E4EE"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F5E86"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Cloreto de rádio (223 RA)</w:t>
            </w:r>
          </w:p>
        </w:tc>
      </w:tr>
      <w:tr w:rsidR="00492753" w:rsidRPr="00492753" w14:paraId="7FA8342F"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90F42"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B1DE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aminolevulinato</w:t>
            </w:r>
            <w:proofErr w:type="spellEnd"/>
            <w:r w:rsidRPr="00492753">
              <w:rPr>
                <w:rFonts w:eastAsia="Times New Roman" w:cstheme="minorHAnsi"/>
                <w:color w:val="000000"/>
                <w:sz w:val="24"/>
                <w:szCs w:val="24"/>
                <w:lang w:eastAsia="pt-BR"/>
              </w:rPr>
              <w:t xml:space="preserve"> de metila</w:t>
            </w:r>
          </w:p>
        </w:tc>
      </w:tr>
      <w:tr w:rsidR="00492753" w:rsidRPr="00492753" w14:paraId="610A1F49"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6F186"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C84AA"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alectinibe</w:t>
            </w:r>
            <w:proofErr w:type="spellEnd"/>
          </w:p>
        </w:tc>
      </w:tr>
      <w:tr w:rsidR="00492753" w:rsidRPr="00492753" w14:paraId="040A9C81"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F0FD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F2FD3"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daunorubicina</w:t>
            </w:r>
            <w:proofErr w:type="spellEnd"/>
          </w:p>
        </w:tc>
      </w:tr>
      <w:tr w:rsidR="00492753" w:rsidRPr="00492753" w14:paraId="74E18316"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2B51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9FDF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doxorubicina</w:t>
            </w:r>
            <w:proofErr w:type="spellEnd"/>
          </w:p>
        </w:tc>
      </w:tr>
      <w:tr w:rsidR="00492753" w:rsidRPr="00492753" w14:paraId="26132A5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EDB55"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0F490"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epirrubicina</w:t>
            </w:r>
            <w:proofErr w:type="spellEnd"/>
          </w:p>
        </w:tc>
      </w:tr>
      <w:tr w:rsidR="00492753" w:rsidRPr="00492753" w14:paraId="6E293FD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CAA11"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5332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idarubicina</w:t>
            </w:r>
            <w:proofErr w:type="spellEnd"/>
          </w:p>
        </w:tc>
      </w:tr>
      <w:tr w:rsidR="00492753" w:rsidRPr="00492753" w14:paraId="2FE6AFB0"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38DB9"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0D20B"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irinotecana</w:t>
            </w:r>
            <w:proofErr w:type="spellEnd"/>
          </w:p>
        </w:tc>
      </w:tr>
      <w:tr w:rsidR="00492753" w:rsidRPr="00492753" w14:paraId="77B70603"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EB58D"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7A80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irinotecano</w:t>
            </w:r>
            <w:proofErr w:type="spellEnd"/>
            <w:r w:rsidRPr="00492753">
              <w:rPr>
                <w:rFonts w:eastAsia="Times New Roman" w:cstheme="minorHAnsi"/>
                <w:color w:val="000000"/>
                <w:sz w:val="24"/>
                <w:szCs w:val="24"/>
                <w:lang w:eastAsia="pt-BR"/>
              </w:rPr>
              <w:t xml:space="preserve"> tri-hidratado</w:t>
            </w:r>
          </w:p>
        </w:tc>
      </w:tr>
      <w:tr w:rsidR="00492753" w:rsidRPr="00492753" w14:paraId="764467F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E94A1"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8C1E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ondansetrona</w:t>
            </w:r>
            <w:proofErr w:type="spellEnd"/>
            <w:r w:rsidRPr="00492753">
              <w:rPr>
                <w:rFonts w:eastAsia="Times New Roman" w:cstheme="minorHAnsi"/>
                <w:color w:val="000000"/>
                <w:sz w:val="24"/>
                <w:szCs w:val="24"/>
                <w:lang w:eastAsia="pt-BR"/>
              </w:rPr>
              <w:t xml:space="preserve"> </w:t>
            </w:r>
            <w:proofErr w:type="spellStart"/>
            <w:r w:rsidRPr="00492753">
              <w:rPr>
                <w:rFonts w:eastAsia="Times New Roman" w:cstheme="minorHAnsi"/>
                <w:color w:val="000000"/>
                <w:sz w:val="24"/>
                <w:szCs w:val="24"/>
                <w:lang w:eastAsia="pt-BR"/>
              </w:rPr>
              <w:t>di-hidratado</w:t>
            </w:r>
            <w:proofErr w:type="spellEnd"/>
          </w:p>
        </w:tc>
      </w:tr>
      <w:tr w:rsidR="00492753" w:rsidRPr="00492753" w14:paraId="76F6BED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5DB9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59D0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palonosetrona</w:t>
            </w:r>
            <w:proofErr w:type="spellEnd"/>
          </w:p>
        </w:tc>
      </w:tr>
      <w:tr w:rsidR="00492753" w:rsidRPr="00492753" w14:paraId="5E37D9E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4CE2B"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63625"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Cloridrato de </w:t>
            </w:r>
            <w:proofErr w:type="spellStart"/>
            <w:r w:rsidRPr="00492753">
              <w:rPr>
                <w:rFonts w:eastAsia="Times New Roman" w:cstheme="minorHAnsi"/>
                <w:color w:val="000000"/>
                <w:sz w:val="24"/>
                <w:szCs w:val="24"/>
                <w:lang w:eastAsia="pt-BR"/>
              </w:rPr>
              <w:t>ponatinibe</w:t>
            </w:r>
            <w:proofErr w:type="spellEnd"/>
          </w:p>
        </w:tc>
      </w:tr>
      <w:tr w:rsidR="00492753" w:rsidRPr="00492753" w14:paraId="67A09C14"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FFA38"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EF4C2"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Crizanlizumabe</w:t>
            </w:r>
            <w:proofErr w:type="spellEnd"/>
          </w:p>
        </w:tc>
      </w:tr>
      <w:tr w:rsidR="00492753" w:rsidRPr="00492753" w14:paraId="119F8505"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090CC"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F9A4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Crizotinibe</w:t>
            </w:r>
            <w:proofErr w:type="spellEnd"/>
          </w:p>
        </w:tc>
      </w:tr>
      <w:tr w:rsidR="00492753" w:rsidRPr="00492753" w14:paraId="4191C868"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ECCC3"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2144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Daratumumabe</w:t>
            </w:r>
            <w:proofErr w:type="spellEnd"/>
          </w:p>
        </w:tc>
      </w:tr>
      <w:tr w:rsidR="00492753" w:rsidRPr="00492753" w14:paraId="143C4AD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20FFB"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BCD9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Darolutamida</w:t>
            </w:r>
            <w:proofErr w:type="spellEnd"/>
          </w:p>
        </w:tc>
      </w:tr>
      <w:tr w:rsidR="00492753" w:rsidRPr="00492753" w14:paraId="6CFE58A3"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0F519"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7A0B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Degarrelix</w:t>
            </w:r>
            <w:proofErr w:type="spellEnd"/>
          </w:p>
        </w:tc>
      </w:tr>
      <w:tr w:rsidR="00492753" w:rsidRPr="00492753" w14:paraId="34FCC4C9"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B474B"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AFF9C"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Denosumabe</w:t>
            </w:r>
            <w:proofErr w:type="spellEnd"/>
          </w:p>
        </w:tc>
      </w:tr>
      <w:tr w:rsidR="00492753" w:rsidRPr="00492753" w14:paraId="62C5843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626F0"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0AFC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Mesilato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desferroxamina</w:t>
            </w:r>
            <w:proofErr w:type="spellEnd"/>
            <w:r w:rsidRPr="00492753">
              <w:rPr>
                <w:rFonts w:eastAsia="Times New Roman" w:cstheme="minorHAnsi"/>
                <w:color w:val="000000"/>
                <w:sz w:val="24"/>
                <w:szCs w:val="24"/>
                <w:lang w:eastAsia="pt-BR"/>
              </w:rPr>
              <w:t> </w:t>
            </w:r>
          </w:p>
        </w:tc>
      </w:tr>
      <w:tr w:rsidR="00492753" w:rsidRPr="00492753" w14:paraId="1CCE6712"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F3BE1"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8FC2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Diaspartato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pasireotida</w:t>
            </w:r>
            <w:proofErr w:type="spellEnd"/>
          </w:p>
        </w:tc>
      </w:tr>
      <w:tr w:rsidR="00492753" w:rsidRPr="00492753" w14:paraId="49A7B0C1"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DD8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36288"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Dimaleato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afatinibe</w:t>
            </w:r>
            <w:proofErr w:type="spellEnd"/>
          </w:p>
        </w:tc>
      </w:tr>
      <w:tr w:rsidR="00492753" w:rsidRPr="00492753" w14:paraId="55CE0B15"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34C28A"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80D97"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Dimetilsulfóxido de </w:t>
            </w:r>
            <w:proofErr w:type="spellStart"/>
            <w:r w:rsidRPr="00492753">
              <w:rPr>
                <w:rFonts w:eastAsia="Times New Roman" w:cstheme="minorHAnsi"/>
                <w:color w:val="000000"/>
                <w:sz w:val="24"/>
                <w:szCs w:val="24"/>
                <w:lang w:eastAsia="pt-BR"/>
              </w:rPr>
              <w:t>trametinibe</w:t>
            </w:r>
            <w:proofErr w:type="spellEnd"/>
          </w:p>
        </w:tc>
      </w:tr>
      <w:tr w:rsidR="00492753" w:rsidRPr="00492753" w14:paraId="13BB802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C0B6E"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F5CE5"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Ditartarato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vinflunina</w:t>
            </w:r>
            <w:proofErr w:type="spellEnd"/>
          </w:p>
        </w:tc>
      </w:tr>
      <w:tr w:rsidR="00492753" w:rsidRPr="00492753" w14:paraId="3481E0E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12706"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2E181"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Ditartarato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vinorelbina</w:t>
            </w:r>
            <w:proofErr w:type="spellEnd"/>
          </w:p>
        </w:tc>
      </w:tr>
      <w:tr w:rsidR="00492753" w:rsidRPr="00492753" w14:paraId="374A58F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E3CAF"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AF0F2"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Docetaxel</w:t>
            </w:r>
            <w:proofErr w:type="spellEnd"/>
          </w:p>
        </w:tc>
      </w:tr>
      <w:tr w:rsidR="00492753" w:rsidRPr="00492753" w14:paraId="082986C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4E363"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2201"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Docetaxel</w:t>
            </w:r>
            <w:proofErr w:type="spellEnd"/>
            <w:r w:rsidRPr="00492753">
              <w:rPr>
                <w:rFonts w:eastAsia="Times New Roman" w:cstheme="minorHAnsi"/>
                <w:color w:val="000000"/>
                <w:sz w:val="24"/>
                <w:szCs w:val="24"/>
                <w:lang w:eastAsia="pt-BR"/>
              </w:rPr>
              <w:t xml:space="preserve"> anidro</w:t>
            </w:r>
          </w:p>
        </w:tc>
      </w:tr>
      <w:tr w:rsidR="00492753" w:rsidRPr="00492753" w14:paraId="1D3BDB0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4A1C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EA063"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Durvalumabe</w:t>
            </w:r>
            <w:proofErr w:type="spellEnd"/>
          </w:p>
        </w:tc>
      </w:tr>
      <w:tr w:rsidR="00492753" w:rsidRPr="00492753" w14:paraId="0032390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F101D"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9D738"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Elotuzumabe</w:t>
            </w:r>
            <w:proofErr w:type="spellEnd"/>
          </w:p>
        </w:tc>
      </w:tr>
      <w:tr w:rsidR="00492753" w:rsidRPr="00492753" w14:paraId="5BB058E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C3093B"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5D2A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Eltrombopague</w:t>
            </w:r>
            <w:proofErr w:type="spellEnd"/>
            <w:r w:rsidRPr="00492753">
              <w:rPr>
                <w:rFonts w:eastAsia="Times New Roman" w:cstheme="minorHAnsi"/>
                <w:color w:val="000000"/>
                <w:sz w:val="24"/>
                <w:szCs w:val="24"/>
                <w:lang w:eastAsia="pt-BR"/>
              </w:rPr>
              <w:t xml:space="preserve"> </w:t>
            </w:r>
            <w:proofErr w:type="spellStart"/>
            <w:r w:rsidRPr="00492753">
              <w:rPr>
                <w:rFonts w:eastAsia="Times New Roman" w:cstheme="minorHAnsi"/>
                <w:color w:val="000000"/>
                <w:sz w:val="24"/>
                <w:szCs w:val="24"/>
                <w:lang w:eastAsia="pt-BR"/>
              </w:rPr>
              <w:t>olamina</w:t>
            </w:r>
            <w:proofErr w:type="spellEnd"/>
          </w:p>
        </w:tc>
      </w:tr>
      <w:tr w:rsidR="00492753" w:rsidRPr="00492753" w14:paraId="1A151282"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004F1"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A55A8"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Enzalutamida</w:t>
            </w:r>
            <w:proofErr w:type="spellEnd"/>
          </w:p>
        </w:tc>
      </w:tr>
      <w:tr w:rsidR="00492753" w:rsidRPr="00492753" w14:paraId="13273E55"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3BE19"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099C1"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Erdafitinibe</w:t>
            </w:r>
            <w:proofErr w:type="spellEnd"/>
          </w:p>
        </w:tc>
      </w:tr>
      <w:tr w:rsidR="00492753" w:rsidRPr="00492753" w14:paraId="703CF4E8"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F05B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B183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Esilato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nintedanibe</w:t>
            </w:r>
            <w:proofErr w:type="spellEnd"/>
          </w:p>
        </w:tc>
      </w:tr>
      <w:tr w:rsidR="00492753" w:rsidRPr="00492753" w14:paraId="0E1BFB1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C5CF1"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68E40"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Exemestano</w:t>
            </w:r>
            <w:proofErr w:type="spellEnd"/>
          </w:p>
        </w:tc>
      </w:tr>
      <w:tr w:rsidR="00492753" w:rsidRPr="00492753" w14:paraId="5E86369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7CE3B8"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8EA6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Filgrastim</w:t>
            </w:r>
            <w:proofErr w:type="spellEnd"/>
          </w:p>
        </w:tc>
      </w:tr>
      <w:tr w:rsidR="00492753" w:rsidRPr="00492753" w14:paraId="684D50C7"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9BE6F"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B9844"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Fluconazol</w:t>
            </w:r>
          </w:p>
        </w:tc>
      </w:tr>
      <w:tr w:rsidR="00492753" w:rsidRPr="00492753" w14:paraId="792710B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0C7AB"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8E21B"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Folinato</w:t>
            </w:r>
            <w:proofErr w:type="spellEnd"/>
            <w:r w:rsidRPr="00492753">
              <w:rPr>
                <w:rFonts w:eastAsia="Times New Roman" w:cstheme="minorHAnsi"/>
                <w:color w:val="000000"/>
                <w:sz w:val="24"/>
                <w:szCs w:val="24"/>
                <w:lang w:eastAsia="pt-BR"/>
              </w:rPr>
              <w:t xml:space="preserve"> de cálcio</w:t>
            </w:r>
          </w:p>
        </w:tc>
      </w:tr>
      <w:tr w:rsidR="00492753" w:rsidRPr="00492753" w14:paraId="07BCA1D7"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9B790"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4033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Fosaprepitanto</w:t>
            </w:r>
            <w:proofErr w:type="spellEnd"/>
            <w:r w:rsidRPr="00492753">
              <w:rPr>
                <w:rFonts w:eastAsia="Times New Roman" w:cstheme="minorHAnsi"/>
                <w:color w:val="000000"/>
                <w:sz w:val="24"/>
                <w:szCs w:val="24"/>
                <w:lang w:eastAsia="pt-BR"/>
              </w:rPr>
              <w:t xml:space="preserve"> </w:t>
            </w:r>
            <w:proofErr w:type="spellStart"/>
            <w:r w:rsidRPr="00492753">
              <w:rPr>
                <w:rFonts w:eastAsia="Times New Roman" w:cstheme="minorHAnsi"/>
                <w:color w:val="000000"/>
                <w:sz w:val="24"/>
                <w:szCs w:val="24"/>
                <w:lang w:eastAsia="pt-BR"/>
              </w:rPr>
              <w:t>dimeglumina</w:t>
            </w:r>
            <w:proofErr w:type="spellEnd"/>
          </w:p>
        </w:tc>
      </w:tr>
      <w:tr w:rsidR="00492753" w:rsidRPr="00492753" w14:paraId="13A5F0B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95998"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F07AB"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Fosfato de </w:t>
            </w:r>
            <w:proofErr w:type="spellStart"/>
            <w:r w:rsidRPr="00492753">
              <w:rPr>
                <w:rFonts w:eastAsia="Times New Roman" w:cstheme="minorHAnsi"/>
                <w:color w:val="000000"/>
                <w:sz w:val="24"/>
                <w:szCs w:val="24"/>
                <w:lang w:eastAsia="pt-BR"/>
              </w:rPr>
              <w:t>ruxolitinibe</w:t>
            </w:r>
            <w:proofErr w:type="spellEnd"/>
          </w:p>
        </w:tc>
      </w:tr>
      <w:tr w:rsidR="00492753" w:rsidRPr="00492753" w14:paraId="1090EDA9"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105F5"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E618C"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Hemitartarato de </w:t>
            </w:r>
            <w:proofErr w:type="spellStart"/>
            <w:r w:rsidRPr="00492753">
              <w:rPr>
                <w:rFonts w:eastAsia="Times New Roman" w:cstheme="minorHAnsi"/>
                <w:color w:val="000000"/>
                <w:sz w:val="24"/>
                <w:szCs w:val="24"/>
                <w:lang w:eastAsia="pt-BR"/>
              </w:rPr>
              <w:t>vinorelbina</w:t>
            </w:r>
            <w:proofErr w:type="spellEnd"/>
          </w:p>
        </w:tc>
      </w:tr>
      <w:tr w:rsidR="00492753" w:rsidRPr="00492753" w14:paraId="46FCBA91"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FA2FE8"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CA401"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Ibrutinibe</w:t>
            </w:r>
            <w:proofErr w:type="spellEnd"/>
          </w:p>
        </w:tc>
      </w:tr>
      <w:tr w:rsidR="00492753" w:rsidRPr="00492753" w14:paraId="2AA79253"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E1E6C"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1F598"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Ipilimumabe</w:t>
            </w:r>
            <w:proofErr w:type="spellEnd"/>
          </w:p>
        </w:tc>
      </w:tr>
      <w:tr w:rsidR="00492753" w:rsidRPr="00492753" w14:paraId="33D25363"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A5464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009C"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Sulfato de </w:t>
            </w:r>
            <w:proofErr w:type="spellStart"/>
            <w:r w:rsidRPr="00492753">
              <w:rPr>
                <w:rFonts w:eastAsia="Times New Roman" w:cstheme="minorHAnsi"/>
                <w:color w:val="000000"/>
                <w:sz w:val="24"/>
                <w:szCs w:val="24"/>
                <w:lang w:eastAsia="pt-BR"/>
              </w:rPr>
              <w:t>larotrectinibe</w:t>
            </w:r>
            <w:proofErr w:type="spellEnd"/>
          </w:p>
        </w:tc>
      </w:tr>
      <w:tr w:rsidR="00492753" w:rsidRPr="00492753" w14:paraId="3BEFBB7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5DA5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5886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Lipegfilgrastim</w:t>
            </w:r>
            <w:proofErr w:type="spellEnd"/>
          </w:p>
        </w:tc>
      </w:tr>
      <w:tr w:rsidR="00492753" w:rsidRPr="00492753" w14:paraId="73DD6277"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8172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D193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Mesilato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dabrafenibe</w:t>
            </w:r>
            <w:proofErr w:type="spellEnd"/>
          </w:p>
        </w:tc>
      </w:tr>
      <w:tr w:rsidR="00492753" w:rsidRPr="00492753" w14:paraId="670F3C9F"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7695E"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1F1A0"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Mesilato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desferroxamina</w:t>
            </w:r>
            <w:proofErr w:type="spellEnd"/>
          </w:p>
        </w:tc>
      </w:tr>
      <w:tr w:rsidR="00492753" w:rsidRPr="00492753" w14:paraId="1D3C2616"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59420"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lastRenderedPageBreak/>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06CD6"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Mesilato</w:t>
            </w:r>
            <w:proofErr w:type="spellEnd"/>
            <w:r w:rsidRPr="00492753">
              <w:rPr>
                <w:rFonts w:eastAsia="Times New Roman" w:cstheme="minorHAnsi"/>
                <w:color w:val="000000"/>
                <w:sz w:val="24"/>
                <w:szCs w:val="24"/>
                <w:lang w:eastAsia="pt-BR"/>
              </w:rPr>
              <w:t xml:space="preserve"> de </w:t>
            </w:r>
            <w:proofErr w:type="spellStart"/>
            <w:r w:rsidRPr="00492753">
              <w:rPr>
                <w:rFonts w:eastAsia="Times New Roman" w:cstheme="minorHAnsi"/>
                <w:color w:val="000000"/>
                <w:sz w:val="24"/>
                <w:szCs w:val="24"/>
                <w:lang w:eastAsia="pt-BR"/>
              </w:rPr>
              <w:t>osimertinibe</w:t>
            </w:r>
            <w:proofErr w:type="spellEnd"/>
          </w:p>
        </w:tc>
      </w:tr>
      <w:tr w:rsidR="00492753" w:rsidRPr="00492753" w14:paraId="411F2575"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DD36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35C0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Metotrexate</w:t>
            </w:r>
            <w:proofErr w:type="spellEnd"/>
          </w:p>
        </w:tc>
      </w:tr>
      <w:tr w:rsidR="00492753" w:rsidRPr="00492753" w14:paraId="15A5F2B6"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CBEF6"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6CBD2"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Midostaurina</w:t>
            </w:r>
            <w:proofErr w:type="spellEnd"/>
          </w:p>
        </w:tc>
      </w:tr>
      <w:tr w:rsidR="00492753" w:rsidRPr="00492753" w14:paraId="6EF926E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CE52B"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06D2C"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Mifamurtida</w:t>
            </w:r>
            <w:proofErr w:type="spellEnd"/>
          </w:p>
        </w:tc>
      </w:tr>
      <w:tr w:rsidR="00492753" w:rsidRPr="00492753" w14:paraId="12C1796A"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5701FA"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3B05C"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Nimotuzumabe</w:t>
            </w:r>
            <w:proofErr w:type="spellEnd"/>
          </w:p>
        </w:tc>
      </w:tr>
      <w:tr w:rsidR="00492753" w:rsidRPr="00492753" w14:paraId="01625DF5"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5B8FA2"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1EF34"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Nivolumabe</w:t>
            </w:r>
            <w:proofErr w:type="spellEnd"/>
          </w:p>
        </w:tc>
      </w:tr>
      <w:tr w:rsidR="00492753" w:rsidRPr="00492753" w14:paraId="4F38EFF7"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B3F18"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0534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Olaparibe</w:t>
            </w:r>
            <w:proofErr w:type="spellEnd"/>
          </w:p>
        </w:tc>
      </w:tr>
      <w:tr w:rsidR="00492753" w:rsidRPr="00492753" w14:paraId="0ADFCD4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AB0B8"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A6273"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Olaratumabe</w:t>
            </w:r>
            <w:proofErr w:type="spellEnd"/>
          </w:p>
        </w:tc>
      </w:tr>
      <w:tr w:rsidR="00492753" w:rsidRPr="00492753" w14:paraId="7D4B93D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35EEF"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DC281"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Palbociclibe</w:t>
            </w:r>
            <w:proofErr w:type="spellEnd"/>
          </w:p>
        </w:tc>
      </w:tr>
      <w:tr w:rsidR="00492753" w:rsidRPr="00492753" w14:paraId="4BF10EBF"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4B70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DE89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Panitumumabe</w:t>
            </w:r>
            <w:proofErr w:type="spellEnd"/>
          </w:p>
        </w:tc>
      </w:tr>
      <w:tr w:rsidR="00492753" w:rsidRPr="00492753" w14:paraId="4E4416E2"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F9511"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6ABA8"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Pegfilgrastim</w:t>
            </w:r>
            <w:proofErr w:type="spellEnd"/>
          </w:p>
        </w:tc>
      </w:tr>
      <w:tr w:rsidR="00492753" w:rsidRPr="00492753" w14:paraId="32468867"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EC78D"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A31D6"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Pemetrexede</w:t>
            </w:r>
            <w:proofErr w:type="spellEnd"/>
            <w:r w:rsidRPr="00492753">
              <w:rPr>
                <w:rFonts w:eastAsia="Times New Roman" w:cstheme="minorHAnsi"/>
                <w:color w:val="000000"/>
                <w:sz w:val="24"/>
                <w:szCs w:val="24"/>
                <w:lang w:eastAsia="pt-BR"/>
              </w:rPr>
              <w:t xml:space="preserve"> </w:t>
            </w:r>
            <w:proofErr w:type="spellStart"/>
            <w:r w:rsidRPr="00492753">
              <w:rPr>
                <w:rFonts w:eastAsia="Times New Roman" w:cstheme="minorHAnsi"/>
                <w:color w:val="000000"/>
                <w:sz w:val="24"/>
                <w:szCs w:val="24"/>
                <w:lang w:eastAsia="pt-BR"/>
              </w:rPr>
              <w:t>dissódico</w:t>
            </w:r>
            <w:proofErr w:type="spellEnd"/>
            <w:r w:rsidRPr="00492753">
              <w:rPr>
                <w:rFonts w:eastAsia="Times New Roman" w:cstheme="minorHAnsi"/>
                <w:color w:val="000000"/>
                <w:sz w:val="24"/>
                <w:szCs w:val="24"/>
                <w:lang w:eastAsia="pt-BR"/>
              </w:rPr>
              <w:t xml:space="preserve"> </w:t>
            </w:r>
            <w:proofErr w:type="spellStart"/>
            <w:r w:rsidRPr="00492753">
              <w:rPr>
                <w:rFonts w:eastAsia="Times New Roman" w:cstheme="minorHAnsi"/>
                <w:color w:val="000000"/>
                <w:sz w:val="24"/>
                <w:szCs w:val="24"/>
                <w:lang w:eastAsia="pt-BR"/>
              </w:rPr>
              <w:t>di-hidratado</w:t>
            </w:r>
            <w:proofErr w:type="spellEnd"/>
          </w:p>
        </w:tc>
      </w:tr>
      <w:tr w:rsidR="00492753" w:rsidRPr="00492753" w14:paraId="67E4CC21"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BB0F5"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0832B"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Plerixafor</w:t>
            </w:r>
            <w:proofErr w:type="spellEnd"/>
          </w:p>
        </w:tc>
      </w:tr>
      <w:tr w:rsidR="00492753" w:rsidRPr="00492753" w14:paraId="06FE7B7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8011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E361B"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Ramucirumabe</w:t>
            </w:r>
            <w:proofErr w:type="spellEnd"/>
          </w:p>
        </w:tc>
      </w:tr>
      <w:tr w:rsidR="00492753" w:rsidRPr="00492753" w14:paraId="325357B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3F712"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A6221"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Rasburicase</w:t>
            </w:r>
            <w:proofErr w:type="spellEnd"/>
          </w:p>
        </w:tc>
      </w:tr>
      <w:tr w:rsidR="00492753" w:rsidRPr="00492753" w14:paraId="6B0CF29E"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9E000"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340E3"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Regorafenibe</w:t>
            </w:r>
            <w:proofErr w:type="spellEnd"/>
          </w:p>
        </w:tc>
      </w:tr>
      <w:tr w:rsidR="00492753" w:rsidRPr="00492753" w14:paraId="4C9DFCD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49367"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7C7F0"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Succinato de </w:t>
            </w:r>
            <w:proofErr w:type="spellStart"/>
            <w:r w:rsidRPr="00492753">
              <w:rPr>
                <w:rFonts w:eastAsia="Times New Roman" w:cstheme="minorHAnsi"/>
                <w:color w:val="000000"/>
                <w:sz w:val="24"/>
                <w:szCs w:val="24"/>
                <w:lang w:eastAsia="pt-BR"/>
              </w:rPr>
              <w:t>ribociclibe</w:t>
            </w:r>
            <w:proofErr w:type="spellEnd"/>
          </w:p>
        </w:tc>
      </w:tr>
      <w:tr w:rsidR="00492753" w:rsidRPr="00492753" w14:paraId="6CEBEB62"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A4003"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6A6DB"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Vincristina</w:t>
            </w:r>
          </w:p>
        </w:tc>
      </w:tr>
      <w:tr w:rsidR="00492753" w:rsidRPr="00492753" w14:paraId="3FF7148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207E9"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6527C"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Tensirolimo</w:t>
            </w:r>
            <w:proofErr w:type="spellEnd"/>
          </w:p>
        </w:tc>
      </w:tr>
      <w:tr w:rsidR="00492753" w:rsidRPr="00492753" w14:paraId="01F7BDB2"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C0CDD"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63123"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Vandetanibe</w:t>
            </w:r>
            <w:proofErr w:type="spellEnd"/>
          </w:p>
        </w:tc>
      </w:tr>
      <w:tr w:rsidR="00492753" w:rsidRPr="00492753" w14:paraId="0CCF1282"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50F10"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F918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Vinorelbina</w:t>
            </w:r>
            <w:proofErr w:type="spellEnd"/>
          </w:p>
        </w:tc>
      </w:tr>
    </w:tbl>
    <w:p w14:paraId="7F05C19E" w14:textId="77777777" w:rsidR="00492753" w:rsidRPr="00492753" w:rsidRDefault="00492753" w:rsidP="00492753">
      <w:pPr>
        <w:spacing w:after="0" w:line="240" w:lineRule="auto"/>
        <w:ind w:left="60" w:right="60"/>
        <w:jc w:val="right"/>
        <w:rPr>
          <w:rFonts w:eastAsia="Times New Roman" w:cstheme="minorHAnsi"/>
          <w:color w:val="000000"/>
          <w:sz w:val="24"/>
          <w:szCs w:val="24"/>
          <w:lang w:eastAsia="pt-BR"/>
        </w:rPr>
      </w:pPr>
      <w:r w:rsidRPr="00492753">
        <w:rPr>
          <w:rFonts w:eastAsia="Times New Roman" w:cstheme="minorHAnsi"/>
          <w:color w:val="000000"/>
          <w:sz w:val="24"/>
          <w:szCs w:val="24"/>
          <w:lang w:eastAsia="pt-BR"/>
        </w:rPr>
        <w:t>                                                                                                                                                     ” (NR);</w:t>
      </w:r>
    </w:p>
    <w:p w14:paraId="1AE1B3AD"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5FB6AF44"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III - a Tabela 9 à Parte 4 do Anexo I: (Convênio ICMS 131/21, efeitos a partir de 1°/01/2023)</w:t>
      </w:r>
    </w:p>
    <w:p w14:paraId="7E6E9F1D"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74DB0C73" w14:textId="77777777" w:rsidR="00492753" w:rsidRPr="00492753" w:rsidRDefault="00492753" w:rsidP="00492753">
      <w:pPr>
        <w:spacing w:before="120" w:after="120" w:line="240" w:lineRule="auto"/>
        <w:ind w:left="120" w:right="12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“TABELA 9</w:t>
      </w:r>
    </w:p>
    <w:p w14:paraId="12798DCB" w14:textId="77777777" w:rsidR="00492753" w:rsidRPr="00492753" w:rsidRDefault="00492753" w:rsidP="00492753">
      <w:pPr>
        <w:spacing w:before="120" w:after="120" w:line="240" w:lineRule="auto"/>
        <w:ind w:left="120" w:right="12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RADIOFÁRMACOS, RADIOISÓTOPOS E FÁRMACOS</w:t>
      </w:r>
    </w:p>
    <w:p w14:paraId="5C415B84" w14:textId="77777777" w:rsidR="00492753" w:rsidRPr="00492753" w:rsidRDefault="00492753" w:rsidP="00492753">
      <w:pPr>
        <w:spacing w:before="120" w:after="120" w:line="240" w:lineRule="auto"/>
        <w:ind w:left="120" w:right="12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ITEM 101 DA PARTE 2</w:t>
      </w:r>
    </w:p>
    <w:p w14:paraId="5260CEB0" w14:textId="77777777" w:rsidR="00492753" w:rsidRPr="00492753" w:rsidRDefault="00492753" w:rsidP="00492753">
      <w:pPr>
        <w:spacing w:before="120" w:after="120" w:line="240" w:lineRule="auto"/>
        <w:ind w:left="120" w:right="12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(Convênio ICMS 131/21)</w:t>
      </w:r>
    </w:p>
    <w:p w14:paraId="66E619D1"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5"/>
        <w:gridCol w:w="8406"/>
        <w:gridCol w:w="1369"/>
      </w:tblGrid>
      <w:tr w:rsidR="00492753" w:rsidRPr="00492753" w14:paraId="2F10FC9C" w14:textId="77777777" w:rsidTr="004927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7945A3"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14878"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RADIOFÁRMACOS, RADIOISÓTOPOS E FÁRMACOS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5FDA9"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NCM/SH</w:t>
            </w:r>
          </w:p>
        </w:tc>
      </w:tr>
      <w:tr w:rsidR="00492753" w:rsidRPr="00492753" w14:paraId="17D9E17D" w14:textId="77777777" w:rsidTr="004927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B7B9B3"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BD760"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 xml:space="preserve">Agentes Radioativos Marcados com Fluor-18 (18F): FDG, F-PSMA, F18, </w:t>
            </w:r>
            <w:proofErr w:type="spellStart"/>
            <w:r w:rsidRPr="00492753">
              <w:rPr>
                <w:rFonts w:eastAsia="Times New Roman" w:cstheme="minorHAnsi"/>
                <w:color w:val="000000"/>
                <w:sz w:val="24"/>
                <w:szCs w:val="24"/>
                <w:lang w:eastAsia="pt-BR"/>
              </w:rPr>
              <w:t>NaF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662656D"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2844.40.90</w:t>
            </w:r>
          </w:p>
        </w:tc>
      </w:tr>
      <w:tr w:rsidR="00492753" w:rsidRPr="00492753" w14:paraId="654D614D" w14:textId="77777777" w:rsidTr="004927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AC388D"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3F4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Agentes Radioativos Marcados com Gálio-68 (68Ga): Ga-PSMA, Ga-DOTA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280A0"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2844.40.90</w:t>
            </w:r>
          </w:p>
        </w:tc>
      </w:tr>
      <w:tr w:rsidR="00492753" w:rsidRPr="00492753" w14:paraId="32C04C3C" w14:textId="77777777" w:rsidTr="004927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9AA575"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A5538"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Agentes Radioativos Marcados com Lutécio- 177 (177Lu): Lu-PSMA, Lu-DOTA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0568"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2844.40.90</w:t>
            </w:r>
          </w:p>
        </w:tc>
      </w:tr>
      <w:tr w:rsidR="00492753" w:rsidRPr="00492753" w14:paraId="380B6FB4" w14:textId="77777777" w:rsidTr="004927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39716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FC9C4"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Agentes Radioativos Marcados com Iodo-131 (131I)</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C4623"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2844.40.30</w:t>
            </w:r>
          </w:p>
        </w:tc>
      </w:tr>
      <w:tr w:rsidR="00492753" w:rsidRPr="00492753" w14:paraId="07FFB316" w14:textId="77777777" w:rsidTr="004927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C90EB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5DFB7"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Gerador de Tecnécio- 99m (99m-Tc)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43E88"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2844.40.10</w:t>
            </w:r>
          </w:p>
        </w:tc>
      </w:tr>
      <w:tr w:rsidR="00492753" w:rsidRPr="00492753" w14:paraId="59826B77" w14:textId="77777777" w:rsidTr="004927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861800"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39D00"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Radio-223 (223Ra)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B0383"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2844.40.90</w:t>
            </w:r>
          </w:p>
        </w:tc>
      </w:tr>
      <w:tr w:rsidR="00492753" w:rsidRPr="00492753" w14:paraId="1AE5847F" w14:textId="77777777" w:rsidTr="004927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619AE1"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FA418"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Actínio-225 (225Ac): Ac-PSMA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71E63"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2844.40.90</w:t>
            </w:r>
          </w:p>
        </w:tc>
      </w:tr>
    </w:tbl>
    <w:p w14:paraId="7218CF61" w14:textId="77777777" w:rsidR="00492753" w:rsidRPr="00492753" w:rsidRDefault="00492753" w:rsidP="00492753">
      <w:pPr>
        <w:spacing w:after="0" w:line="240" w:lineRule="auto"/>
        <w:ind w:left="60" w:right="60"/>
        <w:jc w:val="right"/>
        <w:rPr>
          <w:rFonts w:eastAsia="Times New Roman" w:cstheme="minorHAnsi"/>
          <w:color w:val="000000"/>
          <w:sz w:val="24"/>
          <w:szCs w:val="24"/>
          <w:lang w:eastAsia="pt-BR"/>
        </w:rPr>
      </w:pPr>
      <w:r w:rsidRPr="00492753">
        <w:rPr>
          <w:rFonts w:eastAsia="Times New Roman" w:cstheme="minorHAnsi"/>
          <w:color w:val="000000"/>
          <w:sz w:val="24"/>
          <w:szCs w:val="24"/>
          <w:lang w:eastAsia="pt-BR"/>
        </w:rPr>
        <w:t>” (NR);</w:t>
      </w:r>
    </w:p>
    <w:p w14:paraId="3CD8B4E0"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609FB9EF"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IV - os itens 236 a 239 à Tabela 10 da Parte 5 do Anexo I:  (Convênio ICMS 133/21, efeitos a partir de 1°/01/2022)</w:t>
      </w:r>
    </w:p>
    <w:p w14:paraId="6AACE761"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0635611D"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1844"/>
        <w:gridCol w:w="1368"/>
        <w:gridCol w:w="4651"/>
        <w:gridCol w:w="1942"/>
      </w:tblGrid>
      <w:tr w:rsidR="00492753" w:rsidRPr="00492753" w14:paraId="35728F6F" w14:textId="77777777" w:rsidTr="0049275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DB4617"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ITEM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1CAECF"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FÁRMACOS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AF57F"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NCM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58C8C0"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MEDICAMENTOS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A4FC2"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NCM</w:t>
            </w:r>
          </w:p>
        </w:tc>
      </w:tr>
      <w:tr w:rsidR="00492753" w:rsidRPr="00492753" w14:paraId="695C4669" w14:textId="77777777" w:rsidTr="004927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F55385" w14:textId="77777777" w:rsidR="00492753" w:rsidRPr="00492753" w:rsidRDefault="00492753" w:rsidP="00492753">
            <w:pPr>
              <w:spacing w:after="0" w:line="240" w:lineRule="auto"/>
              <w:rPr>
                <w:rFonts w:eastAsia="Times New Roman" w:cstheme="minorHAnsi"/>
                <w:color w:val="000000"/>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91BFA8" w14:textId="77777777" w:rsidR="00492753" w:rsidRPr="00492753" w:rsidRDefault="00492753" w:rsidP="00492753">
            <w:pPr>
              <w:spacing w:after="0" w:line="240" w:lineRule="auto"/>
              <w:rPr>
                <w:rFonts w:eastAsia="Times New Roman" w:cstheme="minorHAns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723532"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FÁRMACOS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6F9C9A" w14:textId="77777777" w:rsidR="00492753" w:rsidRPr="00492753" w:rsidRDefault="00492753" w:rsidP="00492753">
            <w:pPr>
              <w:spacing w:after="0" w:line="240" w:lineRule="auto"/>
              <w:rPr>
                <w:rFonts w:eastAsia="Times New Roman" w:cstheme="minorHAns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D786D3"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MEDICAMENTOS</w:t>
            </w:r>
          </w:p>
        </w:tc>
      </w:tr>
      <w:tr w:rsidR="00492753" w:rsidRPr="00492753" w14:paraId="1B178CEC"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60A6E"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AE11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Risanquizumabe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02A4C54"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3002.13.00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F20F6"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Risanquizumabe</w:t>
            </w:r>
            <w:proofErr w:type="spellEnd"/>
            <w:r w:rsidRPr="00492753">
              <w:rPr>
                <w:rFonts w:eastAsia="Times New Roman" w:cstheme="minorHAnsi"/>
                <w:color w:val="000000"/>
                <w:sz w:val="24"/>
                <w:szCs w:val="24"/>
                <w:lang w:eastAsia="pt-BR"/>
              </w:rPr>
              <w:t xml:space="preserve"> -</w:t>
            </w:r>
          </w:p>
          <w:p w14:paraId="3C604D51"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lastRenderedPageBreak/>
              <w:t xml:space="preserve">75 mg/0,83 </w:t>
            </w:r>
            <w:proofErr w:type="spellStart"/>
            <w:r w:rsidRPr="00492753">
              <w:rPr>
                <w:rFonts w:eastAsia="Times New Roman" w:cstheme="minorHAnsi"/>
                <w:color w:val="000000"/>
                <w:sz w:val="24"/>
                <w:szCs w:val="24"/>
                <w:lang w:eastAsia="pt-BR"/>
              </w:rPr>
              <w:t>mL</w:t>
            </w:r>
            <w:proofErr w:type="spellEnd"/>
            <w:r w:rsidRPr="00492753">
              <w:rPr>
                <w:rFonts w:eastAsia="Times New Roman" w:cstheme="minorHAnsi"/>
                <w:color w:val="000000"/>
                <w:sz w:val="24"/>
                <w:szCs w:val="24"/>
                <w:lang w:eastAsia="pt-BR"/>
              </w:rPr>
              <w:t xml:space="preserve"> - solução injetável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2EEFF"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lastRenderedPageBreak/>
              <w:t>3002.15.90</w:t>
            </w:r>
          </w:p>
        </w:tc>
      </w:tr>
      <w:tr w:rsidR="00492753" w:rsidRPr="00492753" w14:paraId="600927B8"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85FCDE"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2C743"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Ranibizumabe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8E31D7E"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3002.13.00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F67E7"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Ranibizumabe</w:t>
            </w:r>
            <w:proofErr w:type="spellEnd"/>
            <w:r w:rsidRPr="00492753">
              <w:rPr>
                <w:rFonts w:eastAsia="Times New Roman" w:cstheme="minorHAnsi"/>
                <w:color w:val="000000"/>
                <w:sz w:val="24"/>
                <w:szCs w:val="24"/>
                <w:lang w:eastAsia="pt-BR"/>
              </w:rPr>
              <w:t xml:space="preserve"> - 10mg/ml - solução injetável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1EFCB"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3002.15.90</w:t>
            </w:r>
          </w:p>
        </w:tc>
      </w:tr>
      <w:tr w:rsidR="00492753" w:rsidRPr="00492753" w14:paraId="6FF51DEB"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5AA0A"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92690"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Delamanida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7692F7D"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2934.99.39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FABB2"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Delamanida</w:t>
            </w:r>
            <w:proofErr w:type="spellEnd"/>
            <w:r w:rsidRPr="00492753">
              <w:rPr>
                <w:rFonts w:eastAsia="Times New Roman" w:cstheme="minorHAnsi"/>
                <w:color w:val="000000"/>
                <w:sz w:val="24"/>
                <w:szCs w:val="24"/>
                <w:lang w:eastAsia="pt-BR"/>
              </w:rPr>
              <w:t xml:space="preserve"> -</w:t>
            </w:r>
          </w:p>
          <w:p w14:paraId="607AAAF9"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50 mg - comprimido revestido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DEE18"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3003.90.89</w:t>
            </w:r>
          </w:p>
          <w:p w14:paraId="14A3EE2E"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3004.90.79</w:t>
            </w:r>
          </w:p>
        </w:tc>
      </w:tr>
      <w:tr w:rsidR="00492753" w:rsidRPr="00492753" w14:paraId="5605B228" w14:textId="77777777" w:rsidTr="00492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9BDF4" w14:textId="77777777" w:rsidR="00492753" w:rsidRPr="00492753" w:rsidRDefault="00492753" w:rsidP="00E71FE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8FD9A"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Bedaquilina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F35CD1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2933.49.90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DF5F"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proofErr w:type="spellStart"/>
            <w:r w:rsidRPr="00492753">
              <w:rPr>
                <w:rFonts w:eastAsia="Times New Roman" w:cstheme="minorHAnsi"/>
                <w:color w:val="000000"/>
                <w:sz w:val="24"/>
                <w:szCs w:val="24"/>
                <w:lang w:eastAsia="pt-BR"/>
              </w:rPr>
              <w:t>Bedaquilina</w:t>
            </w:r>
            <w:proofErr w:type="spellEnd"/>
            <w:r w:rsidRPr="00492753">
              <w:rPr>
                <w:rFonts w:eastAsia="Times New Roman" w:cstheme="minorHAnsi"/>
                <w:color w:val="000000"/>
                <w:sz w:val="24"/>
                <w:szCs w:val="24"/>
                <w:lang w:eastAsia="pt-BR"/>
              </w:rPr>
              <w:t xml:space="preserve"> -</w:t>
            </w:r>
          </w:p>
          <w:p w14:paraId="322839CC" w14:textId="77777777" w:rsidR="00492753" w:rsidRPr="00492753" w:rsidRDefault="00492753" w:rsidP="00492753">
            <w:pPr>
              <w:spacing w:after="0" w:line="240" w:lineRule="auto"/>
              <w:ind w:left="60" w:right="60"/>
              <w:rPr>
                <w:rFonts w:eastAsia="Times New Roman" w:cstheme="minorHAnsi"/>
                <w:color w:val="000000"/>
                <w:sz w:val="24"/>
                <w:szCs w:val="24"/>
                <w:lang w:eastAsia="pt-BR"/>
              </w:rPr>
            </w:pPr>
            <w:r w:rsidRPr="00492753">
              <w:rPr>
                <w:rFonts w:eastAsia="Times New Roman" w:cstheme="minorHAnsi"/>
                <w:color w:val="000000"/>
                <w:sz w:val="24"/>
                <w:szCs w:val="24"/>
                <w:lang w:eastAsia="pt-BR"/>
              </w:rPr>
              <w:t>100 mg - comprimido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0B5E"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3003.90.79</w:t>
            </w:r>
          </w:p>
          <w:p w14:paraId="03470133"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3004.90.69</w:t>
            </w:r>
          </w:p>
        </w:tc>
      </w:tr>
    </w:tbl>
    <w:p w14:paraId="33907DF4" w14:textId="77777777" w:rsidR="00492753" w:rsidRPr="00492753" w:rsidRDefault="00492753" w:rsidP="00492753">
      <w:pPr>
        <w:spacing w:after="0" w:line="240" w:lineRule="auto"/>
        <w:ind w:left="60" w:right="60"/>
        <w:jc w:val="right"/>
        <w:rPr>
          <w:rFonts w:eastAsia="Times New Roman" w:cstheme="minorHAnsi"/>
          <w:color w:val="000000"/>
          <w:sz w:val="24"/>
          <w:szCs w:val="24"/>
          <w:lang w:eastAsia="pt-BR"/>
        </w:rPr>
      </w:pPr>
      <w:r w:rsidRPr="00492753">
        <w:rPr>
          <w:rFonts w:eastAsia="Times New Roman" w:cstheme="minorHAnsi"/>
          <w:color w:val="000000"/>
          <w:sz w:val="24"/>
          <w:szCs w:val="24"/>
          <w:lang w:eastAsia="pt-BR"/>
        </w:rPr>
        <w:t>                                                                                                                                                                                              ” (NR).</w:t>
      </w:r>
    </w:p>
    <w:p w14:paraId="493CC6D1" w14:textId="77777777" w:rsidR="00492753" w:rsidRPr="00492753" w:rsidRDefault="00492753" w:rsidP="00492753">
      <w:pPr>
        <w:spacing w:after="0" w:line="240" w:lineRule="auto"/>
        <w:ind w:left="60" w:right="60"/>
        <w:jc w:val="right"/>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3BA41D36"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Art. 3°  Este Decreto entra em vigor na data de sua publicação, produzindo efeitos em relação aos dispositivos que incorporam as normas aprovadas no âmbito da reunião ordinária do Conselho Nacional de Política Fazendária - CONFAZ, a partir da data de entrada em vigor dos Convênios ICMS neles indicados.</w:t>
      </w:r>
    </w:p>
    <w:p w14:paraId="22017FEE"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2E9582BD"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Palácio do Governo do Estado de Rondônia, em 22 de fevereiro de 2022, 134° da República.</w:t>
      </w:r>
    </w:p>
    <w:p w14:paraId="38C545C2"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0311E6B1"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60CBC527" w14:textId="77777777" w:rsidR="00492753" w:rsidRPr="00492753" w:rsidRDefault="00492753" w:rsidP="00492753">
      <w:pPr>
        <w:spacing w:after="0" w:line="240" w:lineRule="auto"/>
        <w:ind w:left="120" w:firstLine="1418"/>
        <w:jc w:val="both"/>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0457537F"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MARCOS JOSÉ ROCHA DOS SANTOS</w:t>
      </w:r>
    </w:p>
    <w:p w14:paraId="252AEFF4"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Governador</w:t>
      </w:r>
    </w:p>
    <w:p w14:paraId="7B441BAF"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7EE703AE"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b/>
          <w:bCs/>
          <w:color w:val="000000"/>
          <w:sz w:val="24"/>
          <w:szCs w:val="24"/>
          <w:lang w:eastAsia="pt-BR"/>
        </w:rPr>
        <w:t>LUÍS FERNANDO PEREIRA DA SILVA</w:t>
      </w:r>
    </w:p>
    <w:p w14:paraId="7F8514D5"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Secretário de Estado de Finanças</w:t>
      </w:r>
    </w:p>
    <w:p w14:paraId="2F7D1B80" w14:textId="77777777" w:rsidR="00492753" w:rsidRPr="00492753" w:rsidRDefault="00492753" w:rsidP="00492753">
      <w:pPr>
        <w:spacing w:after="0" w:line="240" w:lineRule="auto"/>
        <w:ind w:left="60" w:right="60"/>
        <w:jc w:val="center"/>
        <w:rPr>
          <w:rFonts w:eastAsia="Times New Roman" w:cstheme="minorHAnsi"/>
          <w:color w:val="000000"/>
          <w:sz w:val="24"/>
          <w:szCs w:val="24"/>
          <w:lang w:eastAsia="pt-BR"/>
        </w:rPr>
      </w:pPr>
      <w:r w:rsidRPr="00492753">
        <w:rPr>
          <w:rFonts w:eastAsia="Times New Roman" w:cstheme="minorHAnsi"/>
          <w:color w:val="000000"/>
          <w:sz w:val="24"/>
          <w:szCs w:val="24"/>
          <w:lang w:eastAsia="pt-BR"/>
        </w:rPr>
        <w:t> </w:t>
      </w:r>
    </w:p>
    <w:p w14:paraId="6D94DB88" w14:textId="77777777" w:rsidR="00492753" w:rsidRPr="00492753" w:rsidRDefault="00492753" w:rsidP="00492753">
      <w:pPr>
        <w:spacing w:after="0" w:line="240" w:lineRule="auto"/>
        <w:ind w:left="60" w:right="60"/>
        <w:jc w:val="center"/>
        <w:rPr>
          <w:rFonts w:eastAsia="Times New Roman" w:cstheme="minorHAnsi"/>
          <w:color w:val="000000"/>
          <w:sz w:val="20"/>
          <w:szCs w:val="20"/>
          <w:lang w:eastAsia="pt-BR"/>
        </w:rPr>
      </w:pPr>
      <w:r w:rsidRPr="00492753">
        <w:rPr>
          <w:rFonts w:eastAsia="Times New Roman" w:cstheme="minorHAnsi"/>
          <w:color w:val="000000"/>
          <w:sz w:val="20"/>
          <w:szCs w:val="20"/>
          <w:lang w:eastAsia="pt-BR"/>
        </w:rPr>
        <w:t> </w:t>
      </w:r>
    </w:p>
    <w:p w14:paraId="02B6EF0A" w14:textId="77777777" w:rsidR="00492753" w:rsidRPr="00492753" w:rsidRDefault="00492753" w:rsidP="00492753">
      <w:pPr>
        <w:spacing w:after="60" w:line="240" w:lineRule="auto"/>
        <w:rPr>
          <w:rFonts w:eastAsia="Times New Roman" w:cstheme="minorHAnsi"/>
          <w:sz w:val="20"/>
          <w:szCs w:val="20"/>
          <w:lang w:eastAsia="pt-BR"/>
        </w:rPr>
      </w:pPr>
      <w:r w:rsidRPr="00492753">
        <w:rPr>
          <w:rFonts w:eastAsia="Times New Roman" w:cstheme="minorHAnsi"/>
          <w:sz w:val="20"/>
          <w:szCs w:val="20"/>
          <w:lang w:eastAsia="pt-BR"/>
        </w:rPr>
        <w:pict w14:anchorId="452D9A80">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492753" w:rsidRPr="00492753" w14:paraId="0798252D" w14:textId="77777777" w:rsidTr="00492753">
        <w:trPr>
          <w:tblCellSpacing w:w="15" w:type="dxa"/>
        </w:trPr>
        <w:tc>
          <w:tcPr>
            <w:tcW w:w="0" w:type="auto"/>
            <w:vAlign w:val="center"/>
            <w:hideMark/>
          </w:tcPr>
          <w:p w14:paraId="3EFD0536" w14:textId="6A2ADBCE" w:rsidR="00492753" w:rsidRPr="00492753" w:rsidRDefault="00492753" w:rsidP="00492753">
            <w:pPr>
              <w:spacing w:after="0" w:line="240" w:lineRule="auto"/>
              <w:rPr>
                <w:rFonts w:eastAsia="Times New Roman" w:cstheme="minorHAnsi"/>
                <w:color w:val="000000"/>
                <w:sz w:val="20"/>
                <w:szCs w:val="20"/>
                <w:lang w:eastAsia="pt-BR"/>
              </w:rPr>
            </w:pPr>
            <w:r w:rsidRPr="00492753">
              <w:rPr>
                <w:rFonts w:cstheme="minorHAnsi"/>
                <w:noProof/>
                <w:sz w:val="20"/>
                <w:szCs w:val="20"/>
              </w:rPr>
              <w:drawing>
                <wp:inline distT="0" distB="0" distL="0" distR="0" wp14:anchorId="018CFE2A" wp14:editId="765D08E3">
                  <wp:extent cx="849630" cy="570230"/>
                  <wp:effectExtent l="0" t="0" r="7620" b="1270"/>
                  <wp:docPr id="3" name="Imagem 3"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630" cy="570230"/>
                          </a:xfrm>
                          <a:prstGeom prst="rect">
                            <a:avLst/>
                          </a:prstGeom>
                          <a:noFill/>
                          <a:ln>
                            <a:noFill/>
                          </a:ln>
                        </pic:spPr>
                      </pic:pic>
                    </a:graphicData>
                  </a:graphic>
                </wp:inline>
              </w:drawing>
            </w:r>
          </w:p>
        </w:tc>
        <w:tc>
          <w:tcPr>
            <w:tcW w:w="0" w:type="auto"/>
            <w:vAlign w:val="center"/>
            <w:hideMark/>
          </w:tcPr>
          <w:p w14:paraId="0BBDB367" w14:textId="77777777" w:rsidR="00492753" w:rsidRPr="00492753" w:rsidRDefault="00492753" w:rsidP="00492753">
            <w:pPr>
              <w:spacing w:after="0" w:line="240" w:lineRule="auto"/>
              <w:jc w:val="both"/>
              <w:rPr>
                <w:rFonts w:eastAsia="Times New Roman" w:cstheme="minorHAnsi"/>
                <w:color w:val="000000"/>
                <w:sz w:val="20"/>
                <w:szCs w:val="20"/>
                <w:lang w:eastAsia="pt-BR"/>
              </w:rPr>
            </w:pPr>
            <w:r w:rsidRPr="00492753">
              <w:rPr>
                <w:rFonts w:eastAsia="Times New Roman" w:cstheme="minorHAnsi"/>
                <w:color w:val="000000"/>
                <w:sz w:val="20"/>
                <w:szCs w:val="20"/>
                <w:lang w:eastAsia="pt-BR"/>
              </w:rPr>
              <w:t>Documento assinado eletronicamente por </w:t>
            </w:r>
            <w:proofErr w:type="spellStart"/>
            <w:r w:rsidRPr="00492753">
              <w:rPr>
                <w:rFonts w:eastAsia="Times New Roman" w:cstheme="minorHAnsi"/>
                <w:b/>
                <w:bCs/>
                <w:color w:val="000000"/>
                <w:sz w:val="20"/>
                <w:szCs w:val="20"/>
                <w:lang w:eastAsia="pt-BR"/>
              </w:rPr>
              <w:t>Luis</w:t>
            </w:r>
            <w:proofErr w:type="spellEnd"/>
            <w:r w:rsidRPr="00492753">
              <w:rPr>
                <w:rFonts w:eastAsia="Times New Roman" w:cstheme="minorHAnsi"/>
                <w:b/>
                <w:bCs/>
                <w:color w:val="000000"/>
                <w:sz w:val="20"/>
                <w:szCs w:val="20"/>
                <w:lang w:eastAsia="pt-BR"/>
              </w:rPr>
              <w:t xml:space="preserve"> Fernando Pereira da Silva</w:t>
            </w:r>
            <w:r w:rsidRPr="00492753">
              <w:rPr>
                <w:rFonts w:eastAsia="Times New Roman" w:cstheme="minorHAnsi"/>
                <w:color w:val="000000"/>
                <w:sz w:val="20"/>
                <w:szCs w:val="20"/>
                <w:lang w:eastAsia="pt-BR"/>
              </w:rPr>
              <w:t>, </w:t>
            </w:r>
            <w:r w:rsidRPr="00492753">
              <w:rPr>
                <w:rFonts w:eastAsia="Times New Roman" w:cstheme="minorHAnsi"/>
                <w:b/>
                <w:bCs/>
                <w:color w:val="000000"/>
                <w:sz w:val="20"/>
                <w:szCs w:val="20"/>
                <w:lang w:eastAsia="pt-BR"/>
              </w:rPr>
              <w:t>Secretário(a)</w:t>
            </w:r>
            <w:r w:rsidRPr="00492753">
              <w:rPr>
                <w:rFonts w:eastAsia="Times New Roman" w:cstheme="minorHAnsi"/>
                <w:color w:val="000000"/>
                <w:sz w:val="20"/>
                <w:szCs w:val="20"/>
                <w:lang w:eastAsia="pt-BR"/>
              </w:rPr>
              <w:t>, em 22/02/2022, às 17:51, conforme horário oficial de Brasília, com fundamento no artigo 18 caput e seus §§ 1º e 2º, do </w:t>
            </w:r>
            <w:hyperlink r:id="rId7" w:tgtFrame="_blank" w:tooltip="Acesse o Decreto" w:history="1">
              <w:r w:rsidRPr="00492753">
                <w:rPr>
                  <w:rFonts w:eastAsia="Times New Roman" w:cstheme="minorHAnsi"/>
                  <w:color w:val="0000FF"/>
                  <w:sz w:val="20"/>
                  <w:szCs w:val="20"/>
                  <w:u w:val="single"/>
                  <w:lang w:eastAsia="pt-BR"/>
                </w:rPr>
                <w:t>Decreto nº 21.794, de 5 Abril de 2017.</w:t>
              </w:r>
            </w:hyperlink>
          </w:p>
        </w:tc>
      </w:tr>
    </w:tbl>
    <w:p w14:paraId="72D6F002" w14:textId="77777777" w:rsidR="00492753" w:rsidRPr="00492753" w:rsidRDefault="00492753" w:rsidP="00492753">
      <w:pPr>
        <w:spacing w:after="60" w:line="240" w:lineRule="auto"/>
        <w:rPr>
          <w:rFonts w:eastAsia="Times New Roman" w:cstheme="minorHAnsi"/>
          <w:sz w:val="20"/>
          <w:szCs w:val="20"/>
          <w:lang w:eastAsia="pt-BR"/>
        </w:rPr>
      </w:pPr>
      <w:r w:rsidRPr="00492753">
        <w:rPr>
          <w:rFonts w:eastAsia="Times New Roman" w:cstheme="minorHAnsi"/>
          <w:sz w:val="20"/>
          <w:szCs w:val="20"/>
          <w:lang w:eastAsia="pt-BR"/>
        </w:rPr>
        <w:pict w14:anchorId="18FF46AF">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492753" w:rsidRPr="00492753" w14:paraId="11FA6527" w14:textId="77777777" w:rsidTr="00492753">
        <w:trPr>
          <w:tblCellSpacing w:w="15" w:type="dxa"/>
        </w:trPr>
        <w:tc>
          <w:tcPr>
            <w:tcW w:w="0" w:type="auto"/>
            <w:vAlign w:val="center"/>
            <w:hideMark/>
          </w:tcPr>
          <w:p w14:paraId="3AC27390" w14:textId="2613E209" w:rsidR="00492753" w:rsidRPr="00492753" w:rsidRDefault="00492753" w:rsidP="00492753">
            <w:pPr>
              <w:spacing w:after="0" w:line="240" w:lineRule="auto"/>
              <w:rPr>
                <w:rFonts w:eastAsia="Times New Roman" w:cstheme="minorHAnsi"/>
                <w:color w:val="000000"/>
                <w:sz w:val="20"/>
                <w:szCs w:val="20"/>
                <w:lang w:eastAsia="pt-BR"/>
              </w:rPr>
            </w:pPr>
            <w:r w:rsidRPr="00492753">
              <w:rPr>
                <w:rFonts w:cstheme="minorHAnsi"/>
                <w:noProof/>
                <w:sz w:val="20"/>
                <w:szCs w:val="20"/>
              </w:rPr>
              <w:drawing>
                <wp:inline distT="0" distB="0" distL="0" distR="0" wp14:anchorId="14476E9C" wp14:editId="202AD401">
                  <wp:extent cx="849630" cy="570230"/>
                  <wp:effectExtent l="0" t="0" r="7620" b="1270"/>
                  <wp:docPr id="2" name="Imagem 2"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10;&#10;Descrição gerad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630" cy="570230"/>
                          </a:xfrm>
                          <a:prstGeom prst="rect">
                            <a:avLst/>
                          </a:prstGeom>
                          <a:noFill/>
                          <a:ln>
                            <a:noFill/>
                          </a:ln>
                        </pic:spPr>
                      </pic:pic>
                    </a:graphicData>
                  </a:graphic>
                </wp:inline>
              </w:drawing>
            </w:r>
          </w:p>
        </w:tc>
        <w:tc>
          <w:tcPr>
            <w:tcW w:w="0" w:type="auto"/>
            <w:vAlign w:val="center"/>
            <w:hideMark/>
          </w:tcPr>
          <w:p w14:paraId="50D83873" w14:textId="77777777" w:rsidR="00492753" w:rsidRPr="00492753" w:rsidRDefault="00492753" w:rsidP="00492753">
            <w:pPr>
              <w:spacing w:after="0" w:line="240" w:lineRule="auto"/>
              <w:jc w:val="both"/>
              <w:rPr>
                <w:rFonts w:eastAsia="Times New Roman" w:cstheme="minorHAnsi"/>
                <w:color w:val="000000"/>
                <w:sz w:val="20"/>
                <w:szCs w:val="20"/>
                <w:lang w:eastAsia="pt-BR"/>
              </w:rPr>
            </w:pPr>
            <w:r w:rsidRPr="00492753">
              <w:rPr>
                <w:rFonts w:eastAsia="Times New Roman" w:cstheme="minorHAnsi"/>
                <w:color w:val="000000"/>
                <w:sz w:val="20"/>
                <w:szCs w:val="20"/>
                <w:lang w:eastAsia="pt-BR"/>
              </w:rPr>
              <w:t>Documento assinado eletronicamente por </w:t>
            </w:r>
            <w:r w:rsidRPr="00492753">
              <w:rPr>
                <w:rFonts w:eastAsia="Times New Roman" w:cstheme="minorHAnsi"/>
                <w:b/>
                <w:bCs/>
                <w:color w:val="000000"/>
                <w:sz w:val="20"/>
                <w:szCs w:val="20"/>
                <w:lang w:eastAsia="pt-BR"/>
              </w:rPr>
              <w:t>Marcos José Rocha dos Santos</w:t>
            </w:r>
            <w:r w:rsidRPr="00492753">
              <w:rPr>
                <w:rFonts w:eastAsia="Times New Roman" w:cstheme="minorHAnsi"/>
                <w:color w:val="000000"/>
                <w:sz w:val="20"/>
                <w:szCs w:val="20"/>
                <w:lang w:eastAsia="pt-BR"/>
              </w:rPr>
              <w:t>, </w:t>
            </w:r>
            <w:r w:rsidRPr="00492753">
              <w:rPr>
                <w:rFonts w:eastAsia="Times New Roman" w:cstheme="minorHAnsi"/>
                <w:b/>
                <w:bCs/>
                <w:color w:val="000000"/>
                <w:sz w:val="20"/>
                <w:szCs w:val="20"/>
                <w:lang w:eastAsia="pt-BR"/>
              </w:rPr>
              <w:t>Governador</w:t>
            </w:r>
            <w:r w:rsidRPr="00492753">
              <w:rPr>
                <w:rFonts w:eastAsia="Times New Roman" w:cstheme="minorHAnsi"/>
                <w:color w:val="000000"/>
                <w:sz w:val="20"/>
                <w:szCs w:val="20"/>
                <w:lang w:eastAsia="pt-BR"/>
              </w:rPr>
              <w:t>, em 22/02/2022, às 19:12, conforme horário oficial de Brasília, com fundamento no artigo 18 caput e seus §§ 1º e 2º, do </w:t>
            </w:r>
            <w:hyperlink r:id="rId8" w:tgtFrame="_blank" w:tooltip="Acesse o Decreto" w:history="1">
              <w:r w:rsidRPr="00492753">
                <w:rPr>
                  <w:rFonts w:eastAsia="Times New Roman" w:cstheme="minorHAnsi"/>
                  <w:color w:val="0000FF"/>
                  <w:sz w:val="20"/>
                  <w:szCs w:val="20"/>
                  <w:u w:val="single"/>
                  <w:lang w:eastAsia="pt-BR"/>
                </w:rPr>
                <w:t>Decreto nº 21.794, de 5 Abril de 2017.</w:t>
              </w:r>
            </w:hyperlink>
          </w:p>
        </w:tc>
      </w:tr>
    </w:tbl>
    <w:p w14:paraId="4E0746AF" w14:textId="77777777" w:rsidR="00492753" w:rsidRPr="00492753" w:rsidRDefault="00492753" w:rsidP="00492753">
      <w:pPr>
        <w:spacing w:after="60" w:line="240" w:lineRule="auto"/>
        <w:rPr>
          <w:rFonts w:eastAsia="Times New Roman" w:cstheme="minorHAnsi"/>
          <w:sz w:val="20"/>
          <w:szCs w:val="20"/>
          <w:lang w:eastAsia="pt-BR"/>
        </w:rPr>
      </w:pPr>
      <w:r w:rsidRPr="00492753">
        <w:rPr>
          <w:rFonts w:eastAsia="Times New Roman" w:cstheme="minorHAnsi"/>
          <w:sz w:val="20"/>
          <w:szCs w:val="20"/>
          <w:lang w:eastAsia="pt-BR"/>
        </w:rPr>
        <w:pict w14:anchorId="136B1D25">
          <v:rect id="_x0000_i1030"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5"/>
        <w:gridCol w:w="9407"/>
      </w:tblGrid>
      <w:tr w:rsidR="00492753" w:rsidRPr="00492753" w14:paraId="75A34DFE" w14:textId="77777777" w:rsidTr="00492753">
        <w:trPr>
          <w:tblCellSpacing w:w="15" w:type="dxa"/>
        </w:trPr>
        <w:tc>
          <w:tcPr>
            <w:tcW w:w="0" w:type="auto"/>
            <w:vAlign w:val="center"/>
            <w:hideMark/>
          </w:tcPr>
          <w:p w14:paraId="082F864A" w14:textId="5A1DF074" w:rsidR="00492753" w:rsidRPr="00492753" w:rsidRDefault="00492753" w:rsidP="00492753">
            <w:pPr>
              <w:spacing w:after="0" w:line="240" w:lineRule="auto"/>
              <w:rPr>
                <w:rFonts w:eastAsia="Times New Roman" w:cstheme="minorHAnsi"/>
                <w:color w:val="000000"/>
                <w:sz w:val="20"/>
                <w:szCs w:val="20"/>
                <w:lang w:eastAsia="pt-BR"/>
              </w:rPr>
            </w:pPr>
            <w:r w:rsidRPr="00492753">
              <w:rPr>
                <w:rFonts w:cstheme="minorHAnsi"/>
                <w:noProof/>
                <w:sz w:val="20"/>
                <w:szCs w:val="20"/>
              </w:rPr>
              <w:drawing>
                <wp:inline distT="0" distB="0" distL="0" distR="0" wp14:anchorId="0F49D4B2" wp14:editId="720C3A1A">
                  <wp:extent cx="817880" cy="817880"/>
                  <wp:effectExtent l="0" t="0" r="1270" b="1270"/>
                  <wp:docPr id="1" name="Imagem 1"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ódigo QR&#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tc>
        <w:tc>
          <w:tcPr>
            <w:tcW w:w="0" w:type="auto"/>
            <w:vAlign w:val="center"/>
            <w:hideMark/>
          </w:tcPr>
          <w:p w14:paraId="223F68C7" w14:textId="77777777" w:rsidR="00492753" w:rsidRPr="00492753" w:rsidRDefault="00492753" w:rsidP="00492753">
            <w:pPr>
              <w:spacing w:after="0" w:line="240" w:lineRule="auto"/>
              <w:jc w:val="both"/>
              <w:rPr>
                <w:rFonts w:eastAsia="Times New Roman" w:cstheme="minorHAnsi"/>
                <w:color w:val="000000"/>
                <w:sz w:val="20"/>
                <w:szCs w:val="20"/>
                <w:lang w:eastAsia="pt-BR"/>
              </w:rPr>
            </w:pPr>
            <w:r w:rsidRPr="00492753">
              <w:rPr>
                <w:rFonts w:eastAsia="Times New Roman" w:cstheme="minorHAnsi"/>
                <w:color w:val="000000"/>
                <w:sz w:val="20"/>
                <w:szCs w:val="20"/>
                <w:lang w:eastAsia="pt-BR"/>
              </w:rPr>
              <w:t>A autenticidade deste documento pode ser conferida no site </w:t>
            </w:r>
            <w:hyperlink r:id="rId10" w:tgtFrame="_blank" w:tooltip="Página de Autenticidade de Documentos" w:history="1">
              <w:r w:rsidRPr="00492753">
                <w:rPr>
                  <w:rFonts w:eastAsia="Times New Roman" w:cstheme="minorHAnsi"/>
                  <w:color w:val="0000FF"/>
                  <w:sz w:val="20"/>
                  <w:szCs w:val="20"/>
                  <w:u w:val="single"/>
                  <w:lang w:eastAsia="pt-BR"/>
                </w:rPr>
                <w:t>portal do SEI</w:t>
              </w:r>
            </w:hyperlink>
            <w:r w:rsidRPr="00492753">
              <w:rPr>
                <w:rFonts w:eastAsia="Times New Roman" w:cstheme="minorHAnsi"/>
                <w:color w:val="000000"/>
                <w:sz w:val="20"/>
                <w:szCs w:val="20"/>
                <w:lang w:eastAsia="pt-BR"/>
              </w:rPr>
              <w:t>, informando o código verificador </w:t>
            </w:r>
            <w:r w:rsidRPr="00492753">
              <w:rPr>
                <w:rFonts w:eastAsia="Times New Roman" w:cstheme="minorHAnsi"/>
                <w:b/>
                <w:bCs/>
                <w:color w:val="000000"/>
                <w:sz w:val="20"/>
                <w:szCs w:val="20"/>
                <w:lang w:eastAsia="pt-BR"/>
              </w:rPr>
              <w:t>0021900983</w:t>
            </w:r>
            <w:r w:rsidRPr="00492753">
              <w:rPr>
                <w:rFonts w:eastAsia="Times New Roman" w:cstheme="minorHAnsi"/>
                <w:color w:val="000000"/>
                <w:sz w:val="20"/>
                <w:szCs w:val="20"/>
                <w:lang w:eastAsia="pt-BR"/>
              </w:rPr>
              <w:t> e o código CRC </w:t>
            </w:r>
            <w:r w:rsidRPr="00492753">
              <w:rPr>
                <w:rFonts w:eastAsia="Times New Roman" w:cstheme="minorHAnsi"/>
                <w:b/>
                <w:bCs/>
                <w:color w:val="000000"/>
                <w:sz w:val="20"/>
                <w:szCs w:val="20"/>
                <w:lang w:eastAsia="pt-BR"/>
              </w:rPr>
              <w:t>D8CDB5DD</w:t>
            </w:r>
            <w:r w:rsidRPr="00492753">
              <w:rPr>
                <w:rFonts w:eastAsia="Times New Roman" w:cstheme="minorHAnsi"/>
                <w:color w:val="000000"/>
                <w:sz w:val="20"/>
                <w:szCs w:val="20"/>
                <w:lang w:eastAsia="pt-BR"/>
              </w:rPr>
              <w:t>.</w:t>
            </w:r>
          </w:p>
        </w:tc>
      </w:tr>
    </w:tbl>
    <w:p w14:paraId="14F3EFDA" w14:textId="77777777" w:rsidR="00492753" w:rsidRPr="00492753" w:rsidRDefault="00492753" w:rsidP="00492753">
      <w:pPr>
        <w:spacing w:before="15" w:after="15" w:line="240" w:lineRule="auto"/>
        <w:rPr>
          <w:rFonts w:eastAsia="Times New Roman" w:cstheme="minorHAnsi"/>
          <w:sz w:val="20"/>
          <w:szCs w:val="20"/>
          <w:lang w:eastAsia="pt-BR"/>
        </w:rPr>
      </w:pPr>
      <w:r w:rsidRPr="00492753">
        <w:rPr>
          <w:rFonts w:eastAsia="Times New Roman" w:cstheme="minorHAnsi"/>
          <w:sz w:val="20"/>
          <w:szCs w:val="20"/>
          <w:lang w:eastAsia="pt-BR"/>
        </w:rPr>
        <w:pict w14:anchorId="1E716DFF">
          <v:rect id="_x0000_i1032" style="width:0;height:1.5pt" o:hralign="center" o:hrstd="t" o:hrnoshade="t" o:hr="t" fillcolor="black" stroked="f"/>
        </w:pict>
      </w:r>
    </w:p>
    <w:p w14:paraId="6D454B4B" w14:textId="77777777" w:rsidR="00492753" w:rsidRPr="00492753" w:rsidRDefault="00492753" w:rsidP="00492753">
      <w:pPr>
        <w:spacing w:before="15" w:after="15" w:line="240" w:lineRule="auto"/>
        <w:rPr>
          <w:rFonts w:eastAsia="Times New Roman" w:cstheme="minorHAnsi"/>
          <w:sz w:val="20"/>
          <w:szCs w:val="20"/>
          <w:lang w:eastAsia="pt-BR"/>
        </w:rPr>
      </w:pPr>
    </w:p>
    <w:p w14:paraId="672177D4" w14:textId="346B043A" w:rsidR="00FE1123" w:rsidRPr="00492753" w:rsidRDefault="00492753" w:rsidP="00492753">
      <w:pPr>
        <w:rPr>
          <w:rFonts w:cstheme="minorHAnsi"/>
          <w:sz w:val="24"/>
          <w:szCs w:val="24"/>
        </w:rPr>
      </w:pPr>
      <w:r w:rsidRPr="00492753">
        <w:rPr>
          <w:rFonts w:eastAsia="Times New Roman" w:cstheme="minorHAnsi"/>
          <w:color w:val="000000"/>
          <w:sz w:val="24"/>
          <w:szCs w:val="24"/>
          <w:lang w:eastAsia="pt-BR"/>
        </w:rPr>
        <w:t>.</w:t>
      </w:r>
    </w:p>
    <w:sectPr w:rsidR="00FE1123" w:rsidRPr="00492753" w:rsidSect="0049275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22CE5"/>
    <w:multiLevelType w:val="hybridMultilevel"/>
    <w:tmpl w:val="43463686"/>
    <w:lvl w:ilvl="0" w:tplc="74D6AEAA">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23"/>
    <w:rsid w:val="002943DE"/>
    <w:rsid w:val="00492753"/>
    <w:rsid w:val="007D1712"/>
    <w:rsid w:val="00C658D3"/>
    <w:rsid w:val="00E71FE3"/>
    <w:rsid w:val="00FE1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07B4"/>
  <w15:chartTrackingRefBased/>
  <w15:docId w15:val="{5508F7D9-617D-4ADF-A133-15CA1A43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927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centralizartexto">
    <w:name w:val="new_centralizar_texto"/>
    <w:basedOn w:val="Normal"/>
    <w:rsid w:val="004927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ementa">
    <w:name w:val="new_ementa"/>
    <w:basedOn w:val="Normal"/>
    <w:rsid w:val="004927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4927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2753"/>
    <w:rPr>
      <w:b/>
      <w:bCs/>
    </w:rPr>
  </w:style>
  <w:style w:type="paragraph" w:customStyle="1" w:styleId="newtabelatextocentralizado">
    <w:name w:val="new_tabela_texto_centralizado"/>
    <w:basedOn w:val="Normal"/>
    <w:rsid w:val="004927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alinhadoesquerda">
    <w:name w:val="new_tabela_texto_alinhado_esquerda"/>
    <w:basedOn w:val="Normal"/>
    <w:rsid w:val="004927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alinhadodireita">
    <w:name w:val="new_tabela_texto_alinhado_direita"/>
    <w:basedOn w:val="Normal"/>
    <w:rsid w:val="004927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92753"/>
    <w:rPr>
      <w:color w:val="0000FF"/>
      <w:u w:val="single"/>
    </w:rPr>
  </w:style>
  <w:style w:type="paragraph" w:styleId="PargrafodaLista">
    <w:name w:val="List Paragraph"/>
    <w:basedOn w:val="Normal"/>
    <w:uiPriority w:val="34"/>
    <w:qFormat/>
    <w:rsid w:val="0049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302">
      <w:bodyDiv w:val="1"/>
      <w:marLeft w:val="0"/>
      <w:marRight w:val="0"/>
      <w:marTop w:val="0"/>
      <w:marBottom w:val="0"/>
      <w:divBdr>
        <w:top w:val="none" w:sz="0" w:space="0" w:color="auto"/>
        <w:left w:val="none" w:sz="0" w:space="0" w:color="auto"/>
        <w:bottom w:val="none" w:sz="0" w:space="0" w:color="auto"/>
        <w:right w:val="none" w:sz="0" w:space="0" w:color="auto"/>
      </w:divBdr>
      <w:divsChild>
        <w:div w:id="1727214816">
          <w:marLeft w:val="0"/>
          <w:marRight w:val="0"/>
          <w:marTop w:val="0"/>
          <w:marBottom w:val="0"/>
          <w:divBdr>
            <w:top w:val="single" w:sz="12" w:space="3" w:color="777777"/>
            <w:left w:val="single" w:sz="12" w:space="3" w:color="777777"/>
            <w:bottom w:val="single" w:sz="12" w:space="3" w:color="777777"/>
            <w:right w:val="single" w:sz="12" w:space="3" w:color="77777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f.ro.gov.br/data/uploads/2017/04/Doe-05_04_2017.pdf" TargetMode="External"/><Relationship Id="rId3" Type="http://schemas.openxmlformats.org/officeDocument/2006/relationships/settings" Target="settings.xml"/><Relationship Id="rId7" Type="http://schemas.openxmlformats.org/officeDocument/2006/relationships/hyperlink" Target="http://www.diof.ro.gov.br/data/uploads/2017/04/Doe-05_04_20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i.sistemas.ro.gov.br/sei/controlador_externo.php?acao=documento_conferir&amp;id_orgao_acesso_externo=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1517</Words>
  <Characters>8198</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26.923, DE 22 DE FEVEREIRO DE 2022</dc:title>
  <dc:subject>Altera e acresce dispositivos ao RICMS/RO, aprovado pelo Decreto n° 22.721, de 5 de abril de 2018, no âmbito do CONFAZ, com alterações oriundas de Convênios ICMS.</dc:subject>
  <dc:creator>Mariana Cavalcante Maciel</dc:creator>
  <cp:keywords/>
  <dc:description/>
  <cp:lastModifiedBy>Mariana Cavalcante Maciel</cp:lastModifiedBy>
  <cp:revision>6</cp:revision>
  <dcterms:created xsi:type="dcterms:W3CDTF">2022-02-23T14:16:00Z</dcterms:created>
  <dcterms:modified xsi:type="dcterms:W3CDTF">2022-02-23T14:21:00Z</dcterms:modified>
</cp:coreProperties>
</file>