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22E7" w14:textId="5B9D5BB3" w:rsidR="00F013FA" w:rsidRDefault="00F013FA" w:rsidP="00F013FA">
      <w:pPr>
        <w:spacing w:after="0" w:line="240" w:lineRule="auto"/>
        <w:jc w:val="center"/>
        <w:rPr>
          <w:rFonts w:ascii="Arial" w:eastAsia="Times New Roman" w:hAnsi="Arial" w:cs="Arial"/>
          <w:color w:val="000000"/>
          <w:sz w:val="24"/>
          <w:szCs w:val="24"/>
          <w:lang w:eastAsia="pt-BR"/>
        </w:rPr>
      </w:pPr>
      <w:r>
        <w:rPr>
          <w:rFonts w:ascii="Arial" w:eastAsia="Times New Roman" w:hAnsi="Arial" w:cs="Arial"/>
          <w:noProof/>
          <w:color w:val="000000"/>
          <w:sz w:val="24"/>
          <w:szCs w:val="24"/>
          <w:lang w:eastAsia="pt-BR"/>
        </w:rPr>
        <w:drawing>
          <wp:inline distT="0" distB="0" distL="0" distR="0" wp14:anchorId="10A714FD" wp14:editId="7B79046F">
            <wp:extent cx="1610025" cy="1236269"/>
            <wp:effectExtent l="0" t="0" r="0" b="2540"/>
            <wp:docPr id="6" name="Imagem 6" descr="Imagem digital fictícia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Imagem digital fictícia de personagem de desenho animado&#10;&#10;Descrição gerada automaticamente com confiança baixa"/>
                    <pic:cNvPicPr/>
                  </pic:nvPicPr>
                  <pic:blipFill>
                    <a:blip r:embed="rId4">
                      <a:extLst>
                        <a:ext uri="{28A0092B-C50C-407E-A947-70E740481C1C}">
                          <a14:useLocalDpi xmlns:a14="http://schemas.microsoft.com/office/drawing/2010/main" val="0"/>
                        </a:ext>
                      </a:extLst>
                    </a:blip>
                    <a:stretch>
                      <a:fillRect/>
                    </a:stretch>
                  </pic:blipFill>
                  <pic:spPr>
                    <a:xfrm>
                      <a:off x="0" y="0"/>
                      <a:ext cx="1618692" cy="1242924"/>
                    </a:xfrm>
                    <a:prstGeom prst="rect">
                      <a:avLst/>
                    </a:prstGeom>
                  </pic:spPr>
                </pic:pic>
              </a:graphicData>
            </a:graphic>
          </wp:inline>
        </w:drawing>
      </w:r>
    </w:p>
    <w:p w14:paraId="3ED3C289" w14:textId="77777777" w:rsidR="00F013FA" w:rsidRDefault="00F013FA" w:rsidP="00F013FA">
      <w:pPr>
        <w:spacing w:after="0" w:line="240" w:lineRule="auto"/>
        <w:jc w:val="center"/>
        <w:rPr>
          <w:rFonts w:ascii="Arial" w:eastAsia="Times New Roman" w:hAnsi="Arial" w:cs="Arial"/>
          <w:color w:val="000000"/>
          <w:sz w:val="24"/>
          <w:szCs w:val="24"/>
          <w:lang w:eastAsia="pt-BR"/>
        </w:rPr>
      </w:pPr>
    </w:p>
    <w:p w14:paraId="164081EF" w14:textId="479E5405" w:rsidR="00F013FA" w:rsidRPr="00F013FA" w:rsidRDefault="00F013FA" w:rsidP="00F013FA">
      <w:pPr>
        <w:spacing w:after="0" w:line="240" w:lineRule="auto"/>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GOVERNO DO ESTADO DE RONDÔNIA</w:t>
      </w:r>
    </w:p>
    <w:p w14:paraId="43C57A67" w14:textId="77777777" w:rsidR="00F013FA" w:rsidRPr="00F013FA" w:rsidRDefault="00F013FA" w:rsidP="00F013FA">
      <w:pPr>
        <w:spacing w:after="0" w:line="240" w:lineRule="auto"/>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br/>
        <w:t>Secretaria de Estado de Finanças - SEFIN</w:t>
      </w:r>
    </w:p>
    <w:p w14:paraId="09F58D53" w14:textId="7F6A9DD9" w:rsidR="00F013FA" w:rsidRPr="00F013FA" w:rsidRDefault="00F013FA" w:rsidP="00F013FA">
      <w:pPr>
        <w:spacing w:after="0" w:line="240" w:lineRule="auto"/>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Gerência de Tributação - SEFIN-GETRI</w:t>
      </w:r>
      <w:r w:rsidRPr="00F013FA">
        <w:rPr>
          <w:rFonts w:ascii="Arial" w:eastAsia="Times New Roman" w:hAnsi="Arial" w:cs="Arial"/>
          <w:color w:val="000000"/>
          <w:sz w:val="24"/>
          <w:szCs w:val="24"/>
          <w:lang w:eastAsia="pt-BR"/>
        </w:rPr>
        <w:br/>
      </w:r>
    </w:p>
    <w:p w14:paraId="2C3B5CB4" w14:textId="77777777" w:rsidR="00F013FA" w:rsidRPr="00F013FA" w:rsidRDefault="00F013FA" w:rsidP="00F013FA">
      <w:pPr>
        <w:spacing w:before="100" w:beforeAutospacing="1" w:after="100" w:afterAutospacing="1" w:line="240" w:lineRule="auto"/>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Parecer nº 197/2022/SEFIN-GETRI</w:t>
      </w:r>
    </w:p>
    <w:p w14:paraId="7C603E07" w14:textId="77777777" w:rsidR="00F013FA" w:rsidRPr="00F013FA" w:rsidRDefault="00F013FA" w:rsidP="00F013FA">
      <w:pPr>
        <w:spacing w:before="120" w:after="120" w:line="240" w:lineRule="auto"/>
        <w:ind w:left="3600"/>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13388E2D" w14:textId="77777777" w:rsidR="00F013FA" w:rsidRPr="00F013FA" w:rsidRDefault="00F013FA" w:rsidP="00F013FA">
      <w:pPr>
        <w:spacing w:before="120" w:after="120" w:line="240" w:lineRule="auto"/>
        <w:ind w:left="3600"/>
        <w:jc w:val="both"/>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Ementa: </w:t>
      </w:r>
      <w:r w:rsidRPr="00F013FA">
        <w:rPr>
          <w:rFonts w:ascii="Arial" w:eastAsia="Times New Roman" w:hAnsi="Arial" w:cs="Arial"/>
          <w:color w:val="000000"/>
          <w:sz w:val="24"/>
          <w:szCs w:val="24"/>
          <w:lang w:eastAsia="pt-BR"/>
        </w:rPr>
        <w:t>Grupos frigoríficos de compressão classificados na NCM/SH 8418.6940 e no CEST 01.999.00, destinados a integrar reboques e semirreboques de veículos automotores. Tributação por substituição tributária ou de antecipação com encerramento da fase de tributação. Item 999 do Anexo II do Convênio ICMS n. 142/18. Art. 9º, c/c art. 10, §1º, art. 55, §1º, da Parte 1 e Item 999 da Tabela II da Parte 2 do Anexo VI do RICMS/RO-2018.</w:t>
      </w:r>
    </w:p>
    <w:p w14:paraId="7BB32318"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22564C40"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1. Relatório</w:t>
      </w:r>
    </w:p>
    <w:p w14:paraId="63B808E4"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263A0445"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Trata-se de consulta formulada pela Delegacia Regional da Receita Estadual de Vilhena – 3º DRRE pretendendo esclarecer a correta interpretação e aplicação da legislação tributária do Estado de Rondônia nas operações com grupos frigoríficos de compressão, classificados na NCM/SH 8418.6940 e no CEST 01.999.00, destinados a integrar reboques e semirreboques de veículos automotores.</w:t>
      </w:r>
    </w:p>
    <w:p w14:paraId="1AC2A50F"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Argumenta que a descrição e código da mercadoria é compatível com o art. 55, §1º, da Parte 1 e com o Item 999 da Tabela II da Parte 2 do Anexo VI do RICMS/RO-2018, o que levaria a crer que está sujeita ao regime de substituição tributária. Sustenta que, não obstante, autopeças são mercadorias destinadas ao uso ou consumo, ao passo que os grupos frigoríficos de compressão destinados a integrar reboques e semirreboques de veículos automotores se qualificam como verdadeiros bens de capital. Alega que, se estes grupos frigoríficos de compressão forem qualificados como autopeças, os contribuintes poderão aproveitar, de uma só vez, os créditos decorrentes da entrada dessa mercadoria. Ao final questiona:</w:t>
      </w:r>
    </w:p>
    <w:p w14:paraId="3842E9B2"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1 – O Produto “Grupo Frigorífico de Compressão”, NCM 8418.6940 (conforme nota fiscal do fornecedor), aplicado em reboques e semirreboques de veículos automotores, está sujeito ou não ao Regime da Substituição Tributária?</w:t>
      </w:r>
    </w:p>
    <w:p w14:paraId="7A0C22CF"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É, em breve síntese, o relatório.</w:t>
      </w:r>
    </w:p>
    <w:p w14:paraId="3EA0548A"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27D7F6FE"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2. Análise e Legislação Aplicável</w:t>
      </w:r>
    </w:p>
    <w:p w14:paraId="232B4558"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4E0FF6FE"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Na forma do art. 9º c/c art. 10, §1º, da Parte 1 do Anexo VI do RICMS/RO-2018, as mercadorias sujeitas ao regime de substituição tributária ou de antecipação com encerramento da fase de tributação são os identificados nas Tabelas II a XXVI da Parte 2 do mesmo Anexo, a </w:t>
      </w:r>
      <w:r w:rsidRPr="00F013FA">
        <w:rPr>
          <w:rFonts w:ascii="Arial" w:eastAsia="Times New Roman" w:hAnsi="Arial" w:cs="Arial"/>
          <w:b/>
          <w:bCs/>
          <w:color w:val="000000"/>
          <w:sz w:val="24"/>
          <w:szCs w:val="24"/>
          <w:lang w:eastAsia="pt-BR"/>
        </w:rPr>
        <w:t>depender do segmento em que se enquadrem, e segundo sua descrição, classificação na NCM/SH e CEST</w:t>
      </w:r>
      <w:r w:rsidRPr="00F013FA">
        <w:rPr>
          <w:rFonts w:ascii="Arial" w:eastAsia="Times New Roman" w:hAnsi="Arial" w:cs="Arial"/>
          <w:color w:val="000000"/>
          <w:sz w:val="24"/>
          <w:szCs w:val="24"/>
          <w:lang w:eastAsia="pt-BR"/>
        </w:rPr>
        <w:t xml:space="preserve">. Se o Item não reproduzir a correspondente descrição do código ou posição utilizada na NCM/SH, só </w:t>
      </w:r>
      <w:r w:rsidRPr="00F013FA">
        <w:rPr>
          <w:rFonts w:ascii="Arial" w:eastAsia="Times New Roman" w:hAnsi="Arial" w:cs="Arial"/>
          <w:color w:val="000000"/>
          <w:sz w:val="24"/>
          <w:szCs w:val="24"/>
          <w:lang w:eastAsia="pt-BR"/>
        </w:rPr>
        <w:lastRenderedPageBreak/>
        <w:t>estarão sujeitos ao regime de substituição tributária ou de antecipação com encerramento da fase de tributação os bens identificados nos termos da respectiva Tabela da Parte 2 do Anexo VI do RICMS/RO-2018. Transcrevemos:</w:t>
      </w:r>
    </w:p>
    <w:p w14:paraId="558346B0"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Art. 9º.</w:t>
      </w:r>
      <w:r w:rsidRPr="00F013FA">
        <w:rPr>
          <w:rFonts w:ascii="Arial" w:eastAsia="Times New Roman" w:hAnsi="Arial" w:cs="Arial"/>
          <w:color w:val="000000"/>
          <w:sz w:val="20"/>
          <w:szCs w:val="20"/>
          <w:lang w:eastAsia="pt-BR"/>
        </w:rPr>
        <w:t> Os bens e mercadorias passíveis de sujeição ao regime de substituição tributária são os identificados nos Anexos II ao XXVI do Convênio ICMS n. 142/18, de acordo com o segmento em que se enquadrem, contendo a sua descrição, a classificação na NCM/SH e um CEST. (Lei 688/96,</w:t>
      </w:r>
      <w:hyperlink r:id="rId5" w:anchor="L_688_96_ART24A_%C3%83%C6%92%C3%86%E2%80%99%C3%83%C2%A2%C3%A2%E2%80%9A%C2%AC%C3%85%C2%A1%C3%83%C6%92%C3%A2%E2%82%AC%C5%A1%C3%83%E2%80%9A%C3%82%C2%A71" w:tgtFrame="_blank" w:history="1">
        <w:r w:rsidRPr="00F013FA">
          <w:rPr>
            <w:rFonts w:ascii="Arial" w:eastAsia="Times New Roman" w:hAnsi="Arial" w:cs="Arial"/>
            <w:color w:val="000000"/>
            <w:sz w:val="20"/>
            <w:szCs w:val="20"/>
            <w:u w:val="single"/>
            <w:lang w:eastAsia="pt-BR"/>
          </w:rPr>
          <w:t> art. 24-A, § 1º</w:t>
        </w:r>
      </w:hyperlink>
      <w:r w:rsidRPr="00F013FA">
        <w:rPr>
          <w:rFonts w:ascii="Arial" w:eastAsia="Times New Roman" w:hAnsi="Arial" w:cs="Arial"/>
          <w:color w:val="000000"/>
          <w:sz w:val="20"/>
          <w:szCs w:val="20"/>
          <w:lang w:eastAsia="pt-BR"/>
        </w:rPr>
        <w:t>)</w:t>
      </w:r>
    </w:p>
    <w:p w14:paraId="283BB4AA"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Nota: </w:t>
      </w:r>
      <w:hyperlink r:id="rId6" w:anchor="AVI_ART9" w:tgtFrame="_blank" w:history="1">
        <w:r w:rsidRPr="00F013FA">
          <w:rPr>
            <w:rFonts w:ascii="Arial" w:eastAsia="Times New Roman" w:hAnsi="Arial" w:cs="Arial"/>
            <w:color w:val="000000"/>
            <w:sz w:val="20"/>
            <w:szCs w:val="20"/>
            <w:u w:val="single"/>
            <w:lang w:eastAsia="pt-BR"/>
          </w:rPr>
          <w:t>Nova Redação</w:t>
        </w:r>
      </w:hyperlink>
      <w:r w:rsidRPr="00F013FA">
        <w:rPr>
          <w:rFonts w:ascii="Arial" w:eastAsia="Times New Roman" w:hAnsi="Arial" w:cs="Arial"/>
          <w:b/>
          <w:bCs/>
          <w:color w:val="000000"/>
          <w:sz w:val="20"/>
          <w:szCs w:val="20"/>
          <w:lang w:eastAsia="pt-BR"/>
        </w:rPr>
        <w:t> dada pelo Dec. 23747/19 - efeitos a partir de 1º.01.19.</w:t>
      </w:r>
    </w:p>
    <w:p w14:paraId="158EB8B9"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Parágrafo único.</w:t>
      </w:r>
      <w:r w:rsidRPr="00F013FA">
        <w:rPr>
          <w:rFonts w:ascii="Arial" w:eastAsia="Times New Roman" w:hAnsi="Arial" w:cs="Arial"/>
          <w:color w:val="000000"/>
          <w:sz w:val="20"/>
          <w:szCs w:val="20"/>
          <w:lang w:eastAsia="pt-BR"/>
        </w:rPr>
        <w:t> O </w:t>
      </w:r>
      <w:hyperlink r:id="rId7" w:anchor="AXVI_CEST" w:tgtFrame="_blank" w:history="1">
        <w:r w:rsidRPr="00F013FA">
          <w:rPr>
            <w:rFonts w:ascii="Arial" w:eastAsia="Times New Roman" w:hAnsi="Arial" w:cs="Arial"/>
            <w:color w:val="000000"/>
            <w:sz w:val="20"/>
            <w:szCs w:val="20"/>
            <w:u w:val="single"/>
            <w:lang w:eastAsia="pt-BR"/>
          </w:rPr>
          <w:t>CEST</w:t>
        </w:r>
      </w:hyperlink>
      <w:r w:rsidRPr="00F013FA">
        <w:rPr>
          <w:rFonts w:ascii="Arial" w:eastAsia="Times New Roman" w:hAnsi="Arial" w:cs="Arial"/>
          <w:color w:val="000000"/>
          <w:sz w:val="20"/>
          <w:szCs w:val="20"/>
          <w:lang w:eastAsia="pt-BR"/>
        </w:rPr>
        <w:t>, a que alude o </w:t>
      </w:r>
      <w:r w:rsidRPr="00F013FA">
        <w:rPr>
          <w:rFonts w:ascii="Arial" w:eastAsia="Times New Roman" w:hAnsi="Arial" w:cs="Arial"/>
          <w:i/>
          <w:iCs/>
          <w:color w:val="000000"/>
          <w:sz w:val="20"/>
          <w:szCs w:val="20"/>
          <w:lang w:eastAsia="pt-BR"/>
        </w:rPr>
        <w:t>caput</w:t>
      </w:r>
      <w:r w:rsidRPr="00F013FA">
        <w:rPr>
          <w:rFonts w:ascii="Arial" w:eastAsia="Times New Roman" w:hAnsi="Arial" w:cs="Arial"/>
          <w:color w:val="000000"/>
          <w:sz w:val="20"/>
          <w:szCs w:val="20"/>
          <w:lang w:eastAsia="pt-BR"/>
        </w:rPr>
        <w:t>, deverá ser informado no documento fiscal, ainda que a operação não esteja, efetivamente, sujeita à substituição tributária.</w:t>
      </w:r>
    </w:p>
    <w:p w14:paraId="1F515851"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Art. 10.</w:t>
      </w:r>
      <w:r w:rsidRPr="00F013FA">
        <w:rPr>
          <w:rFonts w:ascii="Arial" w:eastAsia="Times New Roman" w:hAnsi="Arial" w:cs="Arial"/>
          <w:color w:val="000000"/>
          <w:sz w:val="20"/>
          <w:szCs w:val="20"/>
          <w:lang w:eastAsia="pt-BR"/>
        </w:rPr>
        <w:t> Os bens e mercadorias sujeitos à substituição tributária ou à antecipação com encerramento da fase de tributação estão identificados nas Tabelas II a XXVI da Parte 2 deste Anexo. </w:t>
      </w:r>
      <w:r w:rsidRPr="00F013FA">
        <w:rPr>
          <w:rFonts w:ascii="Arial" w:eastAsia="Times New Roman" w:hAnsi="Arial" w:cs="Arial"/>
          <w:b/>
          <w:bCs/>
          <w:color w:val="000000"/>
          <w:sz w:val="20"/>
          <w:szCs w:val="20"/>
          <w:lang w:eastAsia="pt-BR"/>
        </w:rPr>
        <w:t>(Convênio ICMS </w:t>
      </w:r>
      <w:hyperlink r:id="rId8" w:tgtFrame="_blank" w:history="1">
        <w:r w:rsidRPr="00F013FA">
          <w:rPr>
            <w:rFonts w:ascii="Arial" w:eastAsia="Times New Roman" w:hAnsi="Arial" w:cs="Arial"/>
            <w:color w:val="000000"/>
            <w:sz w:val="20"/>
            <w:szCs w:val="20"/>
            <w:u w:val="single"/>
            <w:lang w:eastAsia="pt-BR"/>
          </w:rPr>
          <w:t>142/18</w:t>
        </w:r>
      </w:hyperlink>
      <w:r w:rsidRPr="00F013FA">
        <w:rPr>
          <w:rFonts w:ascii="Arial" w:eastAsia="Times New Roman" w:hAnsi="Arial" w:cs="Arial"/>
          <w:b/>
          <w:bCs/>
          <w:color w:val="000000"/>
          <w:sz w:val="20"/>
          <w:szCs w:val="20"/>
          <w:lang w:eastAsia="pt-BR"/>
        </w:rPr>
        <w:t>, cláusula sétima)</w:t>
      </w:r>
    </w:p>
    <w:p w14:paraId="0EB5DD5E"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Nota: </w:t>
      </w:r>
      <w:hyperlink r:id="rId9" w:anchor="AVI_ART10" w:tgtFrame="_blank" w:history="1">
        <w:r w:rsidRPr="00F013FA">
          <w:rPr>
            <w:rFonts w:ascii="Arial" w:eastAsia="Times New Roman" w:hAnsi="Arial" w:cs="Arial"/>
            <w:color w:val="000000"/>
            <w:sz w:val="20"/>
            <w:szCs w:val="20"/>
            <w:u w:val="single"/>
            <w:lang w:eastAsia="pt-BR"/>
          </w:rPr>
          <w:t>Nova Redação</w:t>
        </w:r>
      </w:hyperlink>
      <w:r w:rsidRPr="00F013FA">
        <w:rPr>
          <w:rFonts w:ascii="Arial" w:eastAsia="Times New Roman" w:hAnsi="Arial" w:cs="Arial"/>
          <w:b/>
          <w:bCs/>
          <w:color w:val="000000"/>
          <w:sz w:val="20"/>
          <w:szCs w:val="20"/>
          <w:lang w:eastAsia="pt-BR"/>
        </w:rPr>
        <w:t> dada pelo Decreto n. 23.465, de 27.12.18, efeitos a partir de 1º.01.19</w:t>
      </w:r>
    </w:p>
    <w:p w14:paraId="71FA0CA1"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 1º.</w:t>
      </w:r>
      <w:r w:rsidRPr="00F013FA">
        <w:rPr>
          <w:rFonts w:ascii="Arial" w:eastAsia="Times New Roman" w:hAnsi="Arial" w:cs="Arial"/>
          <w:color w:val="000000"/>
          <w:sz w:val="20"/>
          <w:szCs w:val="20"/>
          <w:lang w:eastAsia="pt-BR"/>
        </w:rPr>
        <w:t> Na hipótese de a descrição do item não reproduzir a correspondente descrição do código ou posição utilizada na </w:t>
      </w:r>
      <w:hyperlink r:id="rId10" w:anchor="AXVI_NCM/SH" w:tgtFrame="_blank" w:history="1">
        <w:r w:rsidRPr="00F013FA">
          <w:rPr>
            <w:rFonts w:ascii="Arial" w:eastAsia="Times New Roman" w:hAnsi="Arial" w:cs="Arial"/>
            <w:color w:val="000000"/>
            <w:sz w:val="20"/>
            <w:szCs w:val="20"/>
            <w:u w:val="single"/>
            <w:lang w:eastAsia="pt-BR"/>
          </w:rPr>
          <w:t>NCM/SH</w:t>
        </w:r>
      </w:hyperlink>
      <w:r w:rsidRPr="00F013FA">
        <w:rPr>
          <w:rFonts w:ascii="Arial" w:eastAsia="Times New Roman" w:hAnsi="Arial" w:cs="Arial"/>
          <w:color w:val="000000"/>
          <w:sz w:val="20"/>
          <w:szCs w:val="20"/>
          <w:lang w:eastAsia="pt-BR"/>
        </w:rPr>
        <w:t>, o regime de substituição tributária ou antecipação com encerramento de fase de tributação em relação às operações subsequentes será aplicável somente aos bens e mercadorias identificados nos termos da descrição contida nas tabelas da </w:t>
      </w:r>
      <w:hyperlink r:id="rId11" w:anchor="AVI_P2" w:tgtFrame="_blank" w:history="1">
        <w:r w:rsidRPr="00F013FA">
          <w:rPr>
            <w:rFonts w:ascii="Arial" w:eastAsia="Times New Roman" w:hAnsi="Arial" w:cs="Arial"/>
            <w:color w:val="000000"/>
            <w:sz w:val="20"/>
            <w:szCs w:val="20"/>
            <w:u w:val="single"/>
            <w:lang w:eastAsia="pt-BR"/>
          </w:rPr>
          <w:t>Parte 2</w:t>
        </w:r>
      </w:hyperlink>
      <w:r w:rsidRPr="00F013FA">
        <w:rPr>
          <w:rFonts w:ascii="Arial" w:eastAsia="Times New Roman" w:hAnsi="Arial" w:cs="Arial"/>
          <w:color w:val="000000"/>
          <w:sz w:val="20"/>
          <w:szCs w:val="20"/>
          <w:lang w:eastAsia="pt-BR"/>
        </w:rPr>
        <w:t> deste Anexo.</w:t>
      </w:r>
    </w:p>
    <w:p w14:paraId="20C36025"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A identificação do segmento</w:t>
      </w:r>
      <w:r w:rsidRPr="00F013FA">
        <w:rPr>
          <w:rFonts w:ascii="Arial" w:eastAsia="Times New Roman" w:hAnsi="Arial" w:cs="Arial"/>
          <w:color w:val="000000"/>
          <w:sz w:val="24"/>
          <w:szCs w:val="24"/>
          <w:lang w:eastAsia="pt-BR"/>
        </w:rPr>
        <w:t> em que se enquadra a mercadoria, para fins de aplicação da legislação tributária do Estado de Rondônia, </w:t>
      </w:r>
      <w:r w:rsidRPr="00F013FA">
        <w:rPr>
          <w:rFonts w:ascii="Arial" w:eastAsia="Times New Roman" w:hAnsi="Arial" w:cs="Arial"/>
          <w:b/>
          <w:bCs/>
          <w:color w:val="000000"/>
          <w:sz w:val="24"/>
          <w:szCs w:val="24"/>
          <w:lang w:eastAsia="pt-BR"/>
        </w:rPr>
        <w:t>não depende da classificação contábil do bem, mas do contexto econômico em que a operação é realizada</w:t>
      </w:r>
      <w:r w:rsidRPr="00F013FA">
        <w:rPr>
          <w:rFonts w:ascii="Arial" w:eastAsia="Times New Roman" w:hAnsi="Arial" w:cs="Arial"/>
          <w:color w:val="000000"/>
          <w:sz w:val="24"/>
          <w:szCs w:val="24"/>
          <w:lang w:eastAsia="pt-BR"/>
        </w:rPr>
        <w:t>. O segmento de autopeças, particularmente, é identificado pela realização da operação em alguma das etapas de industrialização ou de comercialização de mercadorias para o setor automotivo.</w:t>
      </w:r>
    </w:p>
    <w:p w14:paraId="024C3566"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xml:space="preserve">No caso concreto submetido à análise pela consulente, o contribuinte </w:t>
      </w:r>
      <w:proofErr w:type="spellStart"/>
      <w:r w:rsidRPr="00F013FA">
        <w:rPr>
          <w:rFonts w:ascii="Arial" w:eastAsia="Times New Roman" w:hAnsi="Arial" w:cs="Arial"/>
          <w:color w:val="000000"/>
          <w:sz w:val="24"/>
          <w:szCs w:val="24"/>
          <w:lang w:eastAsia="pt-BR"/>
        </w:rPr>
        <w:t>Amazon</w:t>
      </w:r>
      <w:proofErr w:type="spellEnd"/>
      <w:r w:rsidRPr="00F013FA">
        <w:rPr>
          <w:rFonts w:ascii="Arial" w:eastAsia="Times New Roman" w:hAnsi="Arial" w:cs="Arial"/>
          <w:color w:val="000000"/>
          <w:sz w:val="24"/>
          <w:szCs w:val="24"/>
          <w:lang w:eastAsia="pt-BR"/>
        </w:rPr>
        <w:t xml:space="preserve"> Implementos para Transporte e refrigeração LTDA, CNPJ 41.029.474/0002-24, tem como algumas de suas atividades o “</w:t>
      </w:r>
      <w:r w:rsidRPr="00F013FA">
        <w:rPr>
          <w:rFonts w:ascii="Arial" w:eastAsia="Times New Roman" w:hAnsi="Arial" w:cs="Arial"/>
          <w:i/>
          <w:iCs/>
          <w:color w:val="000000"/>
          <w:sz w:val="24"/>
          <w:szCs w:val="24"/>
          <w:lang w:eastAsia="pt-BR"/>
        </w:rPr>
        <w:t>comercio por atacado de peças e acessórios novos para veículos automotores”</w:t>
      </w:r>
      <w:r w:rsidRPr="00F013FA">
        <w:rPr>
          <w:rFonts w:ascii="Arial" w:eastAsia="Times New Roman" w:hAnsi="Arial" w:cs="Arial"/>
          <w:color w:val="000000"/>
          <w:sz w:val="24"/>
          <w:szCs w:val="24"/>
          <w:lang w:eastAsia="pt-BR"/>
        </w:rPr>
        <w:t>, CNAE 4530-7.01, e o “</w:t>
      </w:r>
      <w:r w:rsidRPr="00F013FA">
        <w:rPr>
          <w:rFonts w:ascii="Arial" w:eastAsia="Times New Roman" w:hAnsi="Arial" w:cs="Arial"/>
          <w:i/>
          <w:iCs/>
          <w:color w:val="000000"/>
          <w:sz w:val="24"/>
          <w:szCs w:val="24"/>
          <w:lang w:eastAsia="pt-BR"/>
        </w:rPr>
        <w:t>comércio a varejo de peças e acessórios novos para veículos automotores</w:t>
      </w:r>
      <w:r w:rsidRPr="00F013FA">
        <w:rPr>
          <w:rFonts w:ascii="Arial" w:eastAsia="Times New Roman" w:hAnsi="Arial" w:cs="Arial"/>
          <w:color w:val="000000"/>
          <w:sz w:val="24"/>
          <w:szCs w:val="24"/>
          <w:lang w:eastAsia="pt-BR"/>
        </w:rPr>
        <w:t>”, CNAE 45.30-7.03, a teor da inscrição no CNPJ e no CADICMS/RO, acostados em Id </w:t>
      </w:r>
      <w:hyperlink r:id="rId12" w:tgtFrame="_blank" w:history="1">
        <w:r w:rsidRPr="00F013FA">
          <w:rPr>
            <w:rFonts w:ascii="Arial" w:eastAsia="Times New Roman" w:hAnsi="Arial" w:cs="Arial"/>
            <w:color w:val="0000FF"/>
            <w:sz w:val="24"/>
            <w:szCs w:val="24"/>
            <w:u w:val="single"/>
            <w:lang w:eastAsia="pt-BR"/>
          </w:rPr>
          <w:t>0030077327</w:t>
        </w:r>
      </w:hyperlink>
      <w:r w:rsidRPr="00F013FA">
        <w:rPr>
          <w:rFonts w:ascii="Arial" w:eastAsia="Times New Roman" w:hAnsi="Arial" w:cs="Arial"/>
          <w:color w:val="000000"/>
          <w:sz w:val="24"/>
          <w:szCs w:val="24"/>
          <w:lang w:eastAsia="pt-BR"/>
        </w:rPr>
        <w:t>. Assim, temos que os grupos frigoríficos de compressão, NCM/SH 8418.6940, destinados a integrar reboques e semirreboques de veículos automotores, que o aludido contribuinte comercializa, se enquadram no segmento de autopeças.</w:t>
      </w:r>
    </w:p>
    <w:p w14:paraId="40A9483F"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As mercadorias classificadas na NCM/SH 8418.69.40 e comercializadas no segmento de autopeças,</w:t>
      </w:r>
      <w:r w:rsidRPr="00F013FA">
        <w:rPr>
          <w:rFonts w:ascii="Arial" w:eastAsia="Times New Roman" w:hAnsi="Arial" w:cs="Arial"/>
          <w:color w:val="000000"/>
          <w:sz w:val="24"/>
          <w:szCs w:val="24"/>
          <w:lang w:eastAsia="pt-BR"/>
        </w:rPr>
        <w:t> com respaldo no Item 999 do Anexo II do Convênio ICMS n. 142/18, de 14 de dezembro de 2018, </w:t>
      </w:r>
      <w:r w:rsidRPr="00F013FA">
        <w:rPr>
          <w:rFonts w:ascii="Arial" w:eastAsia="Times New Roman" w:hAnsi="Arial" w:cs="Arial"/>
          <w:b/>
          <w:bCs/>
          <w:color w:val="000000"/>
          <w:sz w:val="24"/>
          <w:szCs w:val="24"/>
          <w:lang w:eastAsia="pt-BR"/>
        </w:rPr>
        <w:t>estão contidas no Item 999 da Tabela II da Parte 2 do Anexo VI do RICMS/RO-2018, com o CEST 01.999.00 e com a descrição “outras peças, partes e acessórios para veículos automotores, não relacionados nos demais itens desta Tabela”</w:t>
      </w:r>
      <w:r w:rsidRPr="00F013FA">
        <w:rPr>
          <w:rFonts w:ascii="Arial" w:eastAsia="Times New Roman" w:hAnsi="Arial" w:cs="Arial"/>
          <w:color w:val="000000"/>
          <w:sz w:val="24"/>
          <w:szCs w:val="24"/>
          <w:lang w:eastAsia="pt-BR"/>
        </w:rPr>
        <w:t>. Vejamos:</w:t>
      </w:r>
    </w:p>
    <w:tbl>
      <w:tblPr>
        <w:tblW w:w="9915" w:type="dxa"/>
        <w:jc w:val="center"/>
        <w:tblCellMar>
          <w:top w:w="15" w:type="dxa"/>
          <w:left w:w="15" w:type="dxa"/>
          <w:bottom w:w="15" w:type="dxa"/>
          <w:right w:w="15" w:type="dxa"/>
        </w:tblCellMar>
        <w:tblLook w:val="04A0" w:firstRow="1" w:lastRow="0" w:firstColumn="1" w:lastColumn="0" w:noHBand="0" w:noVBand="1"/>
      </w:tblPr>
      <w:tblGrid>
        <w:gridCol w:w="628"/>
        <w:gridCol w:w="3628"/>
        <w:gridCol w:w="1040"/>
        <w:gridCol w:w="1151"/>
        <w:gridCol w:w="1259"/>
        <w:gridCol w:w="829"/>
        <w:gridCol w:w="829"/>
        <w:gridCol w:w="551"/>
      </w:tblGrid>
      <w:tr w:rsidR="00F013FA" w:rsidRPr="00F013FA" w14:paraId="2E3305D8" w14:textId="77777777" w:rsidTr="00F013FA">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456996"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ITEM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F08206"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DESCRIÇÃO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B8F48D"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CEST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8A8CEE"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NCM/SH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4D59C8"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MVA ORIGINAL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A26E6"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MVA AJUSTADA</w:t>
            </w:r>
          </w:p>
        </w:tc>
      </w:tr>
      <w:tr w:rsidR="00F013FA" w:rsidRPr="00F013FA" w14:paraId="360842E1" w14:textId="77777777" w:rsidTr="00F013F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740376" w14:textId="77777777" w:rsidR="00F013FA" w:rsidRPr="00F013FA" w:rsidRDefault="00F013FA" w:rsidP="00F013FA">
            <w:pPr>
              <w:spacing w:after="0" w:line="240" w:lineRule="auto"/>
              <w:jc w:val="center"/>
              <w:rPr>
                <w:rFonts w:ascii="Arial" w:eastAsia="Times New Roman" w:hAnsi="Arial" w:cs="Arial"/>
                <w:color w:val="000000"/>
                <w:sz w:val="20"/>
                <w:szCs w:val="2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5B775" w14:textId="77777777" w:rsidR="00F013FA" w:rsidRPr="00F013FA" w:rsidRDefault="00F013FA" w:rsidP="00F013FA">
            <w:pPr>
              <w:spacing w:after="0" w:line="240" w:lineRule="auto"/>
              <w:jc w:val="center"/>
              <w:rPr>
                <w:rFonts w:ascii="Arial" w:eastAsia="Times New Roman" w:hAnsi="Arial" w:cs="Arial"/>
                <w:color w:val="000000"/>
                <w:sz w:val="20"/>
                <w:szCs w:val="2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4BEB6D" w14:textId="77777777" w:rsidR="00F013FA" w:rsidRPr="00F013FA" w:rsidRDefault="00F013FA" w:rsidP="00F013FA">
            <w:pPr>
              <w:spacing w:after="0" w:line="240" w:lineRule="auto"/>
              <w:jc w:val="center"/>
              <w:rPr>
                <w:rFonts w:ascii="Arial" w:eastAsia="Times New Roman" w:hAnsi="Arial" w:cs="Arial"/>
                <w:color w:val="000000"/>
                <w:sz w:val="20"/>
                <w:szCs w:val="2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93B254" w14:textId="77777777" w:rsidR="00F013FA" w:rsidRPr="00F013FA" w:rsidRDefault="00F013FA" w:rsidP="00F013FA">
            <w:pPr>
              <w:spacing w:after="0" w:line="240" w:lineRule="auto"/>
              <w:jc w:val="center"/>
              <w:rPr>
                <w:rFonts w:ascii="Arial" w:eastAsia="Times New Roman" w:hAnsi="Arial" w:cs="Arial"/>
                <w:color w:val="000000"/>
                <w:sz w:val="20"/>
                <w:szCs w:val="2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D126A" w14:textId="77777777" w:rsidR="00F013FA" w:rsidRPr="00F013FA" w:rsidRDefault="00F013FA" w:rsidP="00F013FA">
            <w:pPr>
              <w:spacing w:after="0" w:line="240" w:lineRule="auto"/>
              <w:jc w:val="center"/>
              <w:rPr>
                <w:rFonts w:ascii="Arial" w:eastAsia="Times New Roman" w:hAnsi="Arial" w:cs="Arial"/>
                <w:color w:val="000000"/>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83471"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094EA"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DA1E2"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t>12%</w:t>
            </w:r>
          </w:p>
        </w:tc>
      </w:tr>
      <w:tr w:rsidR="00F013FA" w:rsidRPr="00F013FA" w14:paraId="1C719716" w14:textId="77777777" w:rsidTr="00F01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FA7B2A"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3FAC3"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7D219"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3D8F6"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FA9C"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8F0B7"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75F3D"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A14B"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r>
      <w:tr w:rsidR="00F013FA" w:rsidRPr="00F013FA" w14:paraId="534C0221" w14:textId="77777777" w:rsidTr="00F01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BDDC7E"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09BC7"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br/>
              <w:t>Outras peças, partes e acessórios para veículos automotores, não relacionados nos demais itens desta Tabela.</w:t>
            </w:r>
          </w:p>
          <w:p w14:paraId="3A24D824"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4B56B"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01.999.00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0A9A2"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w:t>
            </w:r>
          </w:p>
          <w:p w14:paraId="6DE86492" w14:textId="77777777" w:rsidR="00F013FA" w:rsidRPr="00F013FA" w:rsidRDefault="00F013FA" w:rsidP="00F013FA">
            <w:pPr>
              <w:spacing w:after="0" w:line="240" w:lineRule="auto"/>
              <w:ind w:left="60" w:right="60"/>
              <w:jc w:val="center"/>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8418.69.40</w:t>
            </w:r>
          </w:p>
          <w:p w14:paraId="07672223"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5E2D"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A66F"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57,09%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FD21C"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52,18%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C314C" w14:textId="77777777" w:rsidR="00F013FA" w:rsidRPr="00F013FA" w:rsidRDefault="00F013FA" w:rsidP="00F013FA">
            <w:pPr>
              <w:spacing w:after="0" w:line="240" w:lineRule="auto"/>
              <w:ind w:left="60" w:right="60"/>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t>44%</w:t>
            </w:r>
          </w:p>
        </w:tc>
      </w:tr>
    </w:tbl>
    <w:p w14:paraId="25FA9DCE"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Na forma deduzida na consulta, os aludidos grupos frigoríficos de compressão são destinados a serem parte de reboques e semirreboques de veículos automotores. Não obstante, a ausência de motor próprio nesses bens não afasta o enquadramento de suas partes, peças ou acessórios na Tabela II da Parte 2 do Anexo VI do RICMS/RO-2018, por expressa previsão contida no art. 55, §1º, da Parte 1 do mesmo Anexo:</w:t>
      </w:r>
    </w:p>
    <w:p w14:paraId="1A84BE4E"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bookmarkStart w:id="0" w:name="AVI_ART55"/>
      <w:r w:rsidRPr="00F013FA">
        <w:rPr>
          <w:rFonts w:ascii="Arial" w:eastAsia="Times New Roman" w:hAnsi="Arial" w:cs="Arial"/>
          <w:b/>
          <w:bCs/>
          <w:color w:val="000000"/>
          <w:sz w:val="20"/>
          <w:szCs w:val="20"/>
          <w:lang w:eastAsia="pt-BR"/>
        </w:rPr>
        <w:t>Art. 55</w:t>
      </w:r>
      <w:bookmarkEnd w:id="0"/>
      <w:r w:rsidRPr="00F013FA">
        <w:rPr>
          <w:rFonts w:ascii="Arial" w:eastAsia="Times New Roman" w:hAnsi="Arial" w:cs="Arial"/>
          <w:b/>
          <w:bCs/>
          <w:color w:val="000000"/>
          <w:sz w:val="20"/>
          <w:szCs w:val="20"/>
          <w:lang w:eastAsia="pt-BR"/>
        </w:rPr>
        <w:t>.</w:t>
      </w:r>
      <w:r w:rsidRPr="00F013FA">
        <w:rPr>
          <w:rFonts w:ascii="Arial" w:eastAsia="Times New Roman" w:hAnsi="Arial" w:cs="Arial"/>
          <w:color w:val="000000"/>
          <w:sz w:val="20"/>
          <w:szCs w:val="20"/>
          <w:lang w:eastAsia="pt-BR"/>
        </w:rPr>
        <w:t> Para fins de cálculo da substituição tributária em relação às peças listadas na </w:t>
      </w:r>
      <w:hyperlink r:id="rId13" w:anchor="AVI_P2_TII" w:tgtFrame="_blank" w:history="1">
        <w:r w:rsidRPr="00F013FA">
          <w:rPr>
            <w:rFonts w:ascii="Arial" w:eastAsia="Times New Roman" w:hAnsi="Arial" w:cs="Arial"/>
            <w:color w:val="000000"/>
            <w:sz w:val="20"/>
            <w:szCs w:val="20"/>
            <w:u w:val="single"/>
            <w:lang w:eastAsia="pt-BR"/>
          </w:rPr>
          <w:t>Tabela II da Parte 2</w:t>
        </w:r>
      </w:hyperlink>
      <w:r w:rsidRPr="00F013FA">
        <w:rPr>
          <w:rFonts w:ascii="Arial" w:eastAsia="Times New Roman" w:hAnsi="Arial" w:cs="Arial"/>
          <w:color w:val="000000"/>
          <w:sz w:val="20"/>
          <w:szCs w:val="20"/>
          <w:lang w:eastAsia="pt-BR"/>
        </w:rPr>
        <w:t> deste Anexo, considera-se veículo automotor aquele dotado de motor próprio, capaz de se locomover por via terrestre em virtude do impulso (propulsão) ali produzido.</w:t>
      </w:r>
    </w:p>
    <w:p w14:paraId="71858156" w14:textId="77777777" w:rsidR="00F013FA" w:rsidRPr="00F013FA" w:rsidRDefault="00F013FA" w:rsidP="00F013FA">
      <w:pPr>
        <w:spacing w:before="120" w:after="120" w:line="240" w:lineRule="auto"/>
        <w:ind w:left="2265"/>
        <w:jc w:val="both"/>
        <w:rPr>
          <w:rFonts w:ascii="Arial" w:eastAsia="Times New Roman" w:hAnsi="Arial" w:cs="Arial"/>
          <w:color w:val="000000"/>
          <w:sz w:val="20"/>
          <w:szCs w:val="20"/>
          <w:lang w:eastAsia="pt-BR"/>
        </w:rPr>
      </w:pPr>
      <w:r w:rsidRPr="00F013FA">
        <w:rPr>
          <w:rFonts w:ascii="Arial" w:eastAsia="Times New Roman" w:hAnsi="Arial" w:cs="Arial"/>
          <w:b/>
          <w:bCs/>
          <w:color w:val="000000"/>
          <w:sz w:val="20"/>
          <w:szCs w:val="20"/>
          <w:lang w:eastAsia="pt-BR"/>
        </w:rPr>
        <w:lastRenderedPageBreak/>
        <w:t>§ 1º.</w:t>
      </w:r>
      <w:r w:rsidRPr="00F013FA">
        <w:rPr>
          <w:rFonts w:ascii="Arial" w:eastAsia="Times New Roman" w:hAnsi="Arial" w:cs="Arial"/>
          <w:color w:val="000000"/>
          <w:sz w:val="20"/>
          <w:szCs w:val="20"/>
          <w:lang w:eastAsia="pt-BR"/>
        </w:rPr>
        <w:t> Aplica-se, ainda, a substituição tributária nas operações com peças, partes e acessórios, de que trata a </w:t>
      </w:r>
      <w:hyperlink r:id="rId14" w:anchor="AVI_P2_TII" w:tgtFrame="_blank" w:history="1">
        <w:r w:rsidRPr="00F013FA">
          <w:rPr>
            <w:rFonts w:ascii="Arial" w:eastAsia="Times New Roman" w:hAnsi="Arial" w:cs="Arial"/>
            <w:color w:val="000000"/>
            <w:sz w:val="20"/>
            <w:szCs w:val="20"/>
            <w:u w:val="single"/>
            <w:lang w:eastAsia="pt-BR"/>
          </w:rPr>
          <w:t>Tabela II da Parte 2</w:t>
        </w:r>
      </w:hyperlink>
      <w:r w:rsidRPr="00F013FA">
        <w:rPr>
          <w:rFonts w:ascii="Arial" w:eastAsia="Times New Roman" w:hAnsi="Arial" w:cs="Arial"/>
          <w:color w:val="000000"/>
          <w:sz w:val="20"/>
          <w:szCs w:val="20"/>
          <w:lang w:eastAsia="pt-BR"/>
        </w:rPr>
        <w:t> deste Anexo, empregados em reboques, semirreboques e implementos agrícolas, exceto em ferramentas.</w:t>
      </w:r>
    </w:p>
    <w:p w14:paraId="29BFB9A1"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xml:space="preserve">Considerando que a descrição da mercadoria, o NCM/SH e o CEST delimitados na consulta se </w:t>
      </w:r>
      <w:proofErr w:type="spellStart"/>
      <w:r w:rsidRPr="00F013FA">
        <w:rPr>
          <w:rFonts w:ascii="Arial" w:eastAsia="Times New Roman" w:hAnsi="Arial" w:cs="Arial"/>
          <w:color w:val="000000"/>
          <w:sz w:val="24"/>
          <w:szCs w:val="24"/>
          <w:lang w:eastAsia="pt-BR"/>
        </w:rPr>
        <w:t>subsumem</w:t>
      </w:r>
      <w:proofErr w:type="spellEnd"/>
      <w:r w:rsidRPr="00F013FA">
        <w:rPr>
          <w:rFonts w:ascii="Arial" w:eastAsia="Times New Roman" w:hAnsi="Arial" w:cs="Arial"/>
          <w:color w:val="000000"/>
          <w:sz w:val="24"/>
          <w:szCs w:val="24"/>
          <w:lang w:eastAsia="pt-BR"/>
        </w:rPr>
        <w:t xml:space="preserve"> ao Item 999 da Tabela II da Parte 2 do Anexo VI do RICMS/RO-2018, e que, no caso concreto, é comercializada no segmento de autopeças, entendemos que está sujeita ao regime de substituição tributária ou de antecipação com encerramento da fase de tributação.</w:t>
      </w:r>
    </w:p>
    <w:p w14:paraId="3B4112DB"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4A7D2C55"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3 Conclusão</w:t>
      </w:r>
    </w:p>
    <w:p w14:paraId="3F1A8B60"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7861BB30"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Com base na legislação relacionada e no raciocínio jurídico acima exposto, conclui-se que grupos frigoríficos de compressão, classificados na NCM/SH 8418.6940 e no CEST 01.999.00, destinados a integrar reboques e semirreboques de veículos automotores estão sujeitos ao regime de substituição tributária ou de antecipação com encerramento da fase de tributação.</w:t>
      </w:r>
    </w:p>
    <w:p w14:paraId="58570E0E"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1EC32566"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É o parecer,</w:t>
      </w:r>
    </w:p>
    <w:p w14:paraId="3F7E8CA0"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A consideração superior.</w:t>
      </w:r>
    </w:p>
    <w:p w14:paraId="74E5B668"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2B939D48" w14:textId="77777777" w:rsidR="00F013FA" w:rsidRPr="00F013FA" w:rsidRDefault="00F013FA" w:rsidP="00F013FA">
      <w:pPr>
        <w:spacing w:before="120" w:after="120" w:line="240" w:lineRule="auto"/>
        <w:ind w:firstLine="1134"/>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p w14:paraId="5905A367" w14:textId="77777777" w:rsidR="00F013FA" w:rsidRPr="00F013FA" w:rsidRDefault="00F013FA" w:rsidP="00F013FA">
      <w:pPr>
        <w:spacing w:before="120" w:after="120" w:line="240" w:lineRule="auto"/>
        <w:ind w:firstLine="1134"/>
        <w:jc w:val="right"/>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Porto Velho, 30 de junho de 2022</w:t>
      </w:r>
    </w:p>
    <w:p w14:paraId="485A94DD" w14:textId="77777777" w:rsidR="00F013FA" w:rsidRPr="00F013FA" w:rsidRDefault="00F013FA" w:rsidP="00F013FA">
      <w:pPr>
        <w:spacing w:before="120" w:after="120" w:line="240" w:lineRule="auto"/>
        <w:ind w:left="120" w:right="120"/>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 </w:t>
      </w:r>
    </w:p>
    <w:tbl>
      <w:tblPr>
        <w:tblW w:w="107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63"/>
        <w:gridCol w:w="5522"/>
      </w:tblGrid>
      <w:tr w:rsidR="00F013FA" w:rsidRPr="00F013FA" w14:paraId="0BC7D2AD" w14:textId="77777777" w:rsidTr="00F013FA">
        <w:trPr>
          <w:tblCellSpacing w:w="7" w:type="dxa"/>
        </w:trPr>
        <w:tc>
          <w:tcPr>
            <w:tcW w:w="5175" w:type="dxa"/>
            <w:tcBorders>
              <w:top w:val="outset" w:sz="6" w:space="0" w:color="auto"/>
              <w:left w:val="outset" w:sz="6" w:space="0" w:color="auto"/>
              <w:bottom w:val="outset" w:sz="6" w:space="0" w:color="auto"/>
              <w:right w:val="outset" w:sz="6" w:space="0" w:color="auto"/>
            </w:tcBorders>
            <w:vAlign w:val="center"/>
            <w:hideMark/>
          </w:tcPr>
          <w:p w14:paraId="560DB215"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 xml:space="preserve">Diego Souza </w:t>
            </w:r>
            <w:proofErr w:type="spellStart"/>
            <w:r w:rsidRPr="00F013FA">
              <w:rPr>
                <w:rFonts w:ascii="Arial" w:eastAsia="Times New Roman" w:hAnsi="Arial" w:cs="Arial"/>
                <w:b/>
                <w:bCs/>
                <w:color w:val="000000"/>
                <w:sz w:val="24"/>
                <w:szCs w:val="24"/>
                <w:lang w:eastAsia="pt-BR"/>
              </w:rPr>
              <w:t>Meneguitti</w:t>
            </w:r>
            <w:proofErr w:type="spellEnd"/>
          </w:p>
          <w:p w14:paraId="6675BAA0"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Auditor Fiscal de Tributos Estaduais</w:t>
            </w:r>
          </w:p>
          <w:p w14:paraId="4D8574A6"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Matrícula 300168996</w:t>
            </w:r>
          </w:p>
        </w:tc>
        <w:tc>
          <w:tcPr>
            <w:tcW w:w="5430" w:type="dxa"/>
            <w:tcBorders>
              <w:top w:val="outset" w:sz="6" w:space="0" w:color="auto"/>
              <w:left w:val="outset" w:sz="6" w:space="0" w:color="auto"/>
              <w:bottom w:val="outset" w:sz="6" w:space="0" w:color="auto"/>
              <w:right w:val="outset" w:sz="6" w:space="0" w:color="auto"/>
            </w:tcBorders>
            <w:vAlign w:val="center"/>
            <w:hideMark/>
          </w:tcPr>
          <w:p w14:paraId="13D8ED0F"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Remo Vieira dos Santos</w:t>
            </w:r>
          </w:p>
          <w:p w14:paraId="040B0962"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Auditora Fiscal de Tributos Estaduais</w:t>
            </w:r>
          </w:p>
          <w:p w14:paraId="3673992B"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Matrícula 300155382</w:t>
            </w:r>
          </w:p>
        </w:tc>
      </w:tr>
      <w:tr w:rsidR="00F013FA" w:rsidRPr="00F013FA" w14:paraId="4C6353D6" w14:textId="77777777" w:rsidTr="00F013FA">
        <w:trPr>
          <w:tblCellSpacing w:w="7" w:type="dxa"/>
        </w:trPr>
        <w:tc>
          <w:tcPr>
            <w:tcW w:w="5175" w:type="dxa"/>
            <w:tcBorders>
              <w:top w:val="outset" w:sz="6" w:space="0" w:color="auto"/>
              <w:left w:val="outset" w:sz="6" w:space="0" w:color="auto"/>
              <w:bottom w:val="outset" w:sz="6" w:space="0" w:color="auto"/>
              <w:right w:val="outset" w:sz="6" w:space="0" w:color="auto"/>
            </w:tcBorders>
            <w:vAlign w:val="center"/>
            <w:hideMark/>
          </w:tcPr>
          <w:p w14:paraId="0BE9F857" w14:textId="77777777" w:rsidR="00F013FA" w:rsidRPr="00F013FA" w:rsidRDefault="00F013FA" w:rsidP="00F013FA">
            <w:pPr>
              <w:spacing w:after="0" w:line="240" w:lineRule="auto"/>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De acordo:</w:t>
            </w:r>
          </w:p>
          <w:p w14:paraId="29E8CBA4" w14:textId="1D54A362" w:rsidR="00F013FA" w:rsidRPr="00F013FA" w:rsidRDefault="00F013FA" w:rsidP="00F013FA">
            <w:pPr>
              <w:spacing w:before="120" w:after="120" w:line="240" w:lineRule="auto"/>
              <w:ind w:left="120" w:right="120"/>
              <w:jc w:val="center"/>
              <w:rPr>
                <w:rFonts w:ascii="Arial" w:eastAsia="Times New Roman" w:hAnsi="Arial" w:cs="Arial"/>
                <w:color w:val="000000"/>
                <w:sz w:val="24"/>
                <w:szCs w:val="24"/>
                <w:lang w:eastAsia="pt-BR"/>
              </w:rPr>
            </w:pPr>
          </w:p>
          <w:p w14:paraId="62D92898" w14:textId="530C9E46" w:rsidR="00F013FA" w:rsidRPr="00F013FA" w:rsidRDefault="00F013FA" w:rsidP="00F013FA">
            <w:pPr>
              <w:spacing w:before="120" w:after="120" w:line="240" w:lineRule="auto"/>
              <w:ind w:left="120" w:right="120"/>
              <w:jc w:val="center"/>
              <w:rPr>
                <w:rFonts w:ascii="Arial" w:eastAsia="Times New Roman" w:hAnsi="Arial" w:cs="Arial"/>
                <w:color w:val="000000"/>
                <w:sz w:val="24"/>
                <w:szCs w:val="24"/>
                <w:lang w:eastAsia="pt-BR"/>
              </w:rPr>
            </w:pPr>
          </w:p>
          <w:p w14:paraId="3FF73D24"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Márcio Alves Passos</w:t>
            </w:r>
            <w:r w:rsidRPr="00F013FA">
              <w:rPr>
                <w:rFonts w:ascii="Arial" w:eastAsia="Times New Roman" w:hAnsi="Arial" w:cs="Arial"/>
                <w:color w:val="000000"/>
                <w:sz w:val="24"/>
                <w:szCs w:val="24"/>
                <w:lang w:eastAsia="pt-BR"/>
              </w:rPr>
              <w:br/>
              <w:t>Auditor Fiscal de Tributos Estaduais</w:t>
            </w:r>
            <w:r w:rsidRPr="00F013FA">
              <w:rPr>
                <w:rFonts w:ascii="Arial" w:eastAsia="Times New Roman" w:hAnsi="Arial" w:cs="Arial"/>
                <w:color w:val="000000"/>
                <w:sz w:val="24"/>
                <w:szCs w:val="24"/>
                <w:lang w:eastAsia="pt-BR"/>
              </w:rPr>
              <w:br/>
              <w:t>Gerente de Tributação em Substituição</w:t>
            </w:r>
          </w:p>
        </w:tc>
        <w:tc>
          <w:tcPr>
            <w:tcW w:w="5430" w:type="dxa"/>
            <w:tcBorders>
              <w:top w:val="outset" w:sz="6" w:space="0" w:color="auto"/>
              <w:left w:val="outset" w:sz="6" w:space="0" w:color="auto"/>
              <w:bottom w:val="outset" w:sz="6" w:space="0" w:color="auto"/>
              <w:right w:val="outset" w:sz="6" w:space="0" w:color="auto"/>
            </w:tcBorders>
            <w:vAlign w:val="center"/>
            <w:hideMark/>
          </w:tcPr>
          <w:p w14:paraId="0AF15377" w14:textId="77777777" w:rsidR="00F013FA" w:rsidRPr="00F013FA" w:rsidRDefault="00F013FA" w:rsidP="00F013FA">
            <w:pPr>
              <w:spacing w:after="0" w:line="240" w:lineRule="auto"/>
              <w:jc w:val="center"/>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t>1) Aprovo o presente Parecer;</w:t>
            </w:r>
            <w:r w:rsidRPr="00F013FA">
              <w:rPr>
                <w:rFonts w:ascii="Arial" w:eastAsia="Times New Roman" w:hAnsi="Arial" w:cs="Arial"/>
                <w:color w:val="000000"/>
                <w:sz w:val="24"/>
                <w:szCs w:val="24"/>
                <w:lang w:eastAsia="pt-BR"/>
              </w:rPr>
              <w:br/>
              <w:t>2) Notifique-se a parte interessada.</w:t>
            </w:r>
          </w:p>
          <w:p w14:paraId="671BB759" w14:textId="2620BBB2" w:rsidR="00F013FA" w:rsidRPr="00F013FA" w:rsidRDefault="00F013FA" w:rsidP="00F013FA">
            <w:pPr>
              <w:spacing w:after="0" w:line="240" w:lineRule="auto"/>
              <w:jc w:val="center"/>
              <w:rPr>
                <w:rFonts w:ascii="Arial" w:eastAsia="Times New Roman" w:hAnsi="Arial" w:cs="Arial"/>
                <w:color w:val="000000"/>
                <w:sz w:val="24"/>
                <w:szCs w:val="24"/>
                <w:lang w:eastAsia="pt-BR"/>
              </w:rPr>
            </w:pPr>
          </w:p>
          <w:p w14:paraId="2D55B73C" w14:textId="77777777" w:rsidR="00F013FA" w:rsidRPr="00F013FA" w:rsidRDefault="00F013FA" w:rsidP="00F013FA">
            <w:pPr>
              <w:spacing w:after="0" w:line="240" w:lineRule="auto"/>
              <w:ind w:left="60" w:right="60"/>
              <w:jc w:val="center"/>
              <w:rPr>
                <w:rFonts w:ascii="Arial" w:eastAsia="Times New Roman" w:hAnsi="Arial" w:cs="Arial"/>
                <w:color w:val="000000"/>
                <w:sz w:val="24"/>
                <w:szCs w:val="24"/>
                <w:lang w:eastAsia="pt-BR"/>
              </w:rPr>
            </w:pPr>
            <w:r w:rsidRPr="00F013FA">
              <w:rPr>
                <w:rFonts w:ascii="Arial" w:eastAsia="Times New Roman" w:hAnsi="Arial" w:cs="Arial"/>
                <w:b/>
                <w:bCs/>
                <w:color w:val="000000"/>
                <w:sz w:val="24"/>
                <w:szCs w:val="24"/>
                <w:lang w:eastAsia="pt-BR"/>
              </w:rPr>
              <w:t>Antônio Carlos Alencar do Nascimento</w:t>
            </w:r>
            <w:r w:rsidRPr="00F013FA">
              <w:rPr>
                <w:rFonts w:ascii="Arial" w:eastAsia="Times New Roman" w:hAnsi="Arial" w:cs="Arial"/>
                <w:color w:val="000000"/>
                <w:sz w:val="24"/>
                <w:szCs w:val="24"/>
                <w:lang w:eastAsia="pt-BR"/>
              </w:rPr>
              <w:br/>
              <w:t>Coordenador Geral da Receita Estadual</w:t>
            </w:r>
          </w:p>
        </w:tc>
      </w:tr>
    </w:tbl>
    <w:p w14:paraId="199406D2" w14:textId="77777777" w:rsidR="00F013FA" w:rsidRPr="00F013FA" w:rsidRDefault="00F013FA" w:rsidP="00F013FA">
      <w:pPr>
        <w:spacing w:after="60" w:line="240" w:lineRule="auto"/>
        <w:jc w:val="both"/>
        <w:rPr>
          <w:rFonts w:ascii="Arial" w:eastAsia="Times New Roman" w:hAnsi="Arial" w:cs="Arial"/>
          <w:color w:val="000000"/>
          <w:sz w:val="24"/>
          <w:szCs w:val="24"/>
          <w:lang w:eastAsia="pt-BR"/>
        </w:rPr>
      </w:pPr>
      <w:r w:rsidRPr="00F013FA">
        <w:rPr>
          <w:rFonts w:ascii="Arial" w:eastAsia="Times New Roman" w:hAnsi="Arial" w:cs="Arial"/>
          <w:color w:val="000000"/>
          <w:sz w:val="24"/>
          <w:szCs w:val="24"/>
          <w:lang w:eastAsia="pt-BR"/>
        </w:rPr>
        <w:pict w14:anchorId="2FC19084">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F013FA" w:rsidRPr="00F013FA" w14:paraId="4B97D0AD" w14:textId="77777777" w:rsidTr="00F013FA">
        <w:trPr>
          <w:tblCellSpacing w:w="15" w:type="dxa"/>
        </w:trPr>
        <w:tc>
          <w:tcPr>
            <w:tcW w:w="0" w:type="auto"/>
            <w:vAlign w:val="center"/>
            <w:hideMark/>
          </w:tcPr>
          <w:p w14:paraId="5ED6641A" w14:textId="244D8129"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hAnsi="Arial" w:cs="Arial"/>
                <w:noProof/>
                <w:sz w:val="20"/>
                <w:szCs w:val="20"/>
              </w:rPr>
              <w:drawing>
                <wp:inline distT="0" distB="0" distL="0" distR="0" wp14:anchorId="2FD1EEA5" wp14:editId="00930C5A">
                  <wp:extent cx="848360" cy="570865"/>
                  <wp:effectExtent l="0" t="0" r="8890" b="635"/>
                  <wp:docPr id="5" name="Imagem 5"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10;&#10;Descrição gerad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61CB3407" w14:textId="77777777"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eastAsia="Times New Roman" w:hAnsi="Arial" w:cs="Arial"/>
                <w:sz w:val="20"/>
                <w:szCs w:val="20"/>
                <w:lang w:eastAsia="pt-BR"/>
              </w:rPr>
              <w:t>Documento assinado eletronicamente por </w:t>
            </w:r>
            <w:r w:rsidRPr="00F013FA">
              <w:rPr>
                <w:rFonts w:ascii="Arial" w:eastAsia="Times New Roman" w:hAnsi="Arial" w:cs="Arial"/>
                <w:b/>
                <w:bCs/>
                <w:sz w:val="20"/>
                <w:szCs w:val="20"/>
                <w:lang w:eastAsia="pt-BR"/>
              </w:rPr>
              <w:t>DIEGO SOUZA MENEGUITTI</w:t>
            </w:r>
            <w:r w:rsidRPr="00F013FA">
              <w:rPr>
                <w:rFonts w:ascii="Arial" w:eastAsia="Times New Roman" w:hAnsi="Arial" w:cs="Arial"/>
                <w:sz w:val="20"/>
                <w:szCs w:val="20"/>
                <w:lang w:eastAsia="pt-BR"/>
              </w:rPr>
              <w:t>, </w:t>
            </w:r>
            <w:r w:rsidRPr="00F013FA">
              <w:rPr>
                <w:rFonts w:ascii="Arial" w:eastAsia="Times New Roman" w:hAnsi="Arial" w:cs="Arial"/>
                <w:b/>
                <w:bCs/>
                <w:sz w:val="20"/>
                <w:szCs w:val="20"/>
                <w:lang w:eastAsia="pt-BR"/>
              </w:rPr>
              <w:t>Auditor</w:t>
            </w:r>
            <w:r w:rsidRPr="00F013FA">
              <w:rPr>
                <w:rFonts w:ascii="Arial" w:eastAsia="Times New Roman" w:hAnsi="Arial" w:cs="Arial"/>
                <w:sz w:val="20"/>
                <w:szCs w:val="20"/>
                <w:lang w:eastAsia="pt-BR"/>
              </w:rPr>
              <w:t>, em 08/07/2022, às 10:47, conforme horário oficial de Brasília, com fundamento no artigo 18 caput e seus §§ 1º e 2º, do </w:t>
            </w:r>
            <w:hyperlink r:id="rId16" w:tgtFrame="_blank" w:tooltip="Acesse o Decreto" w:history="1">
              <w:r w:rsidRPr="00F013FA">
                <w:rPr>
                  <w:rFonts w:ascii="Arial" w:eastAsia="Times New Roman" w:hAnsi="Arial" w:cs="Arial"/>
                  <w:color w:val="0000FF"/>
                  <w:sz w:val="20"/>
                  <w:szCs w:val="20"/>
                  <w:u w:val="single"/>
                  <w:lang w:eastAsia="pt-BR"/>
                </w:rPr>
                <w:t>Decreto nº 21.794, de 5 Abril de 2017.</w:t>
              </w:r>
            </w:hyperlink>
          </w:p>
        </w:tc>
      </w:tr>
    </w:tbl>
    <w:p w14:paraId="1A2D586A" w14:textId="77777777" w:rsidR="00F013FA" w:rsidRPr="00F013FA" w:rsidRDefault="00F013FA" w:rsidP="00F013FA">
      <w:pPr>
        <w:spacing w:after="60" w:line="240" w:lineRule="auto"/>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pict w14:anchorId="23BD0FDA">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F013FA" w:rsidRPr="00F013FA" w14:paraId="43B4A1B4" w14:textId="77777777" w:rsidTr="00F013FA">
        <w:trPr>
          <w:tblCellSpacing w:w="15" w:type="dxa"/>
        </w:trPr>
        <w:tc>
          <w:tcPr>
            <w:tcW w:w="0" w:type="auto"/>
            <w:vAlign w:val="center"/>
            <w:hideMark/>
          </w:tcPr>
          <w:p w14:paraId="58A58CA2" w14:textId="02B84C21"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hAnsi="Arial" w:cs="Arial"/>
                <w:noProof/>
                <w:sz w:val="20"/>
                <w:szCs w:val="20"/>
              </w:rPr>
              <w:drawing>
                <wp:inline distT="0" distB="0" distL="0" distR="0" wp14:anchorId="2715E4DB" wp14:editId="155BEDA3">
                  <wp:extent cx="848360" cy="570865"/>
                  <wp:effectExtent l="0" t="0" r="8890" b="635"/>
                  <wp:docPr id="4" name="Imagem 4"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10;&#10;Descrição gerad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6211108B" w14:textId="77777777"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eastAsia="Times New Roman" w:hAnsi="Arial" w:cs="Arial"/>
                <w:sz w:val="20"/>
                <w:szCs w:val="20"/>
                <w:lang w:eastAsia="pt-BR"/>
              </w:rPr>
              <w:t>Documento assinado eletronicamente por </w:t>
            </w:r>
            <w:r w:rsidRPr="00F013FA">
              <w:rPr>
                <w:rFonts w:ascii="Arial" w:eastAsia="Times New Roman" w:hAnsi="Arial" w:cs="Arial"/>
                <w:b/>
                <w:bCs/>
                <w:sz w:val="20"/>
                <w:szCs w:val="20"/>
                <w:lang w:eastAsia="pt-BR"/>
              </w:rPr>
              <w:t>Remo Vieira dos Santos</w:t>
            </w:r>
            <w:r w:rsidRPr="00F013FA">
              <w:rPr>
                <w:rFonts w:ascii="Arial" w:eastAsia="Times New Roman" w:hAnsi="Arial" w:cs="Arial"/>
                <w:sz w:val="20"/>
                <w:szCs w:val="20"/>
                <w:lang w:eastAsia="pt-BR"/>
              </w:rPr>
              <w:t>, </w:t>
            </w:r>
            <w:r w:rsidRPr="00F013FA">
              <w:rPr>
                <w:rFonts w:ascii="Arial" w:eastAsia="Times New Roman" w:hAnsi="Arial" w:cs="Arial"/>
                <w:b/>
                <w:bCs/>
                <w:sz w:val="20"/>
                <w:szCs w:val="20"/>
                <w:lang w:eastAsia="pt-BR"/>
              </w:rPr>
              <w:t>Auditor</w:t>
            </w:r>
            <w:r w:rsidRPr="00F013FA">
              <w:rPr>
                <w:rFonts w:ascii="Arial" w:eastAsia="Times New Roman" w:hAnsi="Arial" w:cs="Arial"/>
                <w:sz w:val="20"/>
                <w:szCs w:val="20"/>
                <w:lang w:eastAsia="pt-BR"/>
              </w:rPr>
              <w:t>, em 08/07/2022, às 11:01, conforme horário oficial de Brasília, com fundamento no artigo 18 caput e seus §§ 1º e 2º, do </w:t>
            </w:r>
            <w:hyperlink r:id="rId17" w:tgtFrame="_blank" w:tooltip="Acesse o Decreto" w:history="1">
              <w:r w:rsidRPr="00F013FA">
                <w:rPr>
                  <w:rFonts w:ascii="Arial" w:eastAsia="Times New Roman" w:hAnsi="Arial" w:cs="Arial"/>
                  <w:color w:val="0000FF"/>
                  <w:sz w:val="20"/>
                  <w:szCs w:val="20"/>
                  <w:u w:val="single"/>
                  <w:lang w:eastAsia="pt-BR"/>
                </w:rPr>
                <w:t>Decreto nº 21.794, de 5 Abril de 2017.</w:t>
              </w:r>
            </w:hyperlink>
          </w:p>
        </w:tc>
      </w:tr>
    </w:tbl>
    <w:p w14:paraId="03AC3DE0" w14:textId="77777777" w:rsidR="00F013FA" w:rsidRPr="00F013FA" w:rsidRDefault="00F013FA" w:rsidP="00F013FA">
      <w:pPr>
        <w:spacing w:after="60" w:line="240" w:lineRule="auto"/>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pict w14:anchorId="0DF9640D">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F013FA" w:rsidRPr="00F013FA" w14:paraId="43D12314" w14:textId="77777777" w:rsidTr="00F013FA">
        <w:trPr>
          <w:tblCellSpacing w:w="15" w:type="dxa"/>
        </w:trPr>
        <w:tc>
          <w:tcPr>
            <w:tcW w:w="0" w:type="auto"/>
            <w:vAlign w:val="center"/>
            <w:hideMark/>
          </w:tcPr>
          <w:p w14:paraId="01CE78CB" w14:textId="47E65597"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hAnsi="Arial" w:cs="Arial"/>
                <w:noProof/>
                <w:sz w:val="20"/>
                <w:szCs w:val="20"/>
              </w:rPr>
              <w:drawing>
                <wp:inline distT="0" distB="0" distL="0" distR="0" wp14:anchorId="33800CEE" wp14:editId="4B77A449">
                  <wp:extent cx="848360" cy="570865"/>
                  <wp:effectExtent l="0" t="0" r="8890" b="635"/>
                  <wp:docPr id="3" name="Imagem 3"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68FCC2FC" w14:textId="77777777"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eastAsia="Times New Roman" w:hAnsi="Arial" w:cs="Arial"/>
                <w:sz w:val="20"/>
                <w:szCs w:val="20"/>
                <w:lang w:eastAsia="pt-BR"/>
              </w:rPr>
              <w:t>Documento assinado eletronicamente por </w:t>
            </w:r>
            <w:r w:rsidRPr="00F013FA">
              <w:rPr>
                <w:rFonts w:ascii="Arial" w:eastAsia="Times New Roman" w:hAnsi="Arial" w:cs="Arial"/>
                <w:b/>
                <w:bCs/>
                <w:sz w:val="20"/>
                <w:szCs w:val="20"/>
                <w:lang w:eastAsia="pt-BR"/>
              </w:rPr>
              <w:t>Marcio Alves Passos</w:t>
            </w:r>
            <w:r w:rsidRPr="00F013FA">
              <w:rPr>
                <w:rFonts w:ascii="Arial" w:eastAsia="Times New Roman" w:hAnsi="Arial" w:cs="Arial"/>
                <w:sz w:val="20"/>
                <w:szCs w:val="20"/>
                <w:lang w:eastAsia="pt-BR"/>
              </w:rPr>
              <w:t>, </w:t>
            </w:r>
            <w:r w:rsidRPr="00F013FA">
              <w:rPr>
                <w:rFonts w:ascii="Arial" w:eastAsia="Times New Roman" w:hAnsi="Arial" w:cs="Arial"/>
                <w:b/>
                <w:bCs/>
                <w:sz w:val="20"/>
                <w:szCs w:val="20"/>
                <w:lang w:eastAsia="pt-BR"/>
              </w:rPr>
              <w:t>Gerente</w:t>
            </w:r>
            <w:r w:rsidRPr="00F013FA">
              <w:rPr>
                <w:rFonts w:ascii="Arial" w:eastAsia="Times New Roman" w:hAnsi="Arial" w:cs="Arial"/>
                <w:sz w:val="20"/>
                <w:szCs w:val="20"/>
                <w:lang w:eastAsia="pt-BR"/>
              </w:rPr>
              <w:t>, em 08/07/2022, às 14:25, conforme horário oficial de Brasília, com fundamento no artigo 18 caput e seus §§ 1º e 2º, do </w:t>
            </w:r>
            <w:hyperlink r:id="rId18" w:tgtFrame="_blank" w:tooltip="Acesse o Decreto" w:history="1">
              <w:r w:rsidRPr="00F013FA">
                <w:rPr>
                  <w:rFonts w:ascii="Arial" w:eastAsia="Times New Roman" w:hAnsi="Arial" w:cs="Arial"/>
                  <w:color w:val="0000FF"/>
                  <w:sz w:val="20"/>
                  <w:szCs w:val="20"/>
                  <w:u w:val="single"/>
                  <w:lang w:eastAsia="pt-BR"/>
                </w:rPr>
                <w:t>Decreto nº 21.794, de 5 Abril de 2017.</w:t>
              </w:r>
            </w:hyperlink>
          </w:p>
        </w:tc>
      </w:tr>
    </w:tbl>
    <w:p w14:paraId="493B8577" w14:textId="77777777" w:rsidR="00F013FA" w:rsidRPr="00F013FA" w:rsidRDefault="00F013FA" w:rsidP="00F013FA">
      <w:pPr>
        <w:spacing w:after="60" w:line="240" w:lineRule="auto"/>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pict w14:anchorId="527CE7DE">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47"/>
      </w:tblGrid>
      <w:tr w:rsidR="00F013FA" w:rsidRPr="00F013FA" w14:paraId="02D8A757" w14:textId="77777777" w:rsidTr="00F013FA">
        <w:trPr>
          <w:tblCellSpacing w:w="15" w:type="dxa"/>
        </w:trPr>
        <w:tc>
          <w:tcPr>
            <w:tcW w:w="0" w:type="auto"/>
            <w:vAlign w:val="center"/>
            <w:hideMark/>
          </w:tcPr>
          <w:p w14:paraId="0B7BFFD9" w14:textId="2A070CB0"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hAnsi="Arial" w:cs="Arial"/>
                <w:noProof/>
                <w:sz w:val="20"/>
                <w:szCs w:val="20"/>
              </w:rPr>
              <w:drawing>
                <wp:inline distT="0" distB="0" distL="0" distR="0" wp14:anchorId="1CD80E96" wp14:editId="2F6E001C">
                  <wp:extent cx="848360" cy="570865"/>
                  <wp:effectExtent l="0" t="0" r="8890" b="635"/>
                  <wp:docPr id="2" name="Imagem 2"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10;&#10;Descrição gerad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2F12E49A" w14:textId="77777777"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eastAsia="Times New Roman" w:hAnsi="Arial" w:cs="Arial"/>
                <w:sz w:val="20"/>
                <w:szCs w:val="20"/>
                <w:lang w:eastAsia="pt-BR"/>
              </w:rPr>
              <w:t>Documento assinado eletronicamente por </w:t>
            </w:r>
            <w:r w:rsidRPr="00F013FA">
              <w:rPr>
                <w:rFonts w:ascii="Arial" w:eastAsia="Times New Roman" w:hAnsi="Arial" w:cs="Arial"/>
                <w:b/>
                <w:bCs/>
                <w:sz w:val="20"/>
                <w:szCs w:val="20"/>
                <w:lang w:eastAsia="pt-BR"/>
              </w:rPr>
              <w:t>ANTONIO CARLOS ALENCAR DO NASCIMENTO</w:t>
            </w:r>
            <w:r w:rsidRPr="00F013FA">
              <w:rPr>
                <w:rFonts w:ascii="Arial" w:eastAsia="Times New Roman" w:hAnsi="Arial" w:cs="Arial"/>
                <w:sz w:val="20"/>
                <w:szCs w:val="20"/>
                <w:lang w:eastAsia="pt-BR"/>
              </w:rPr>
              <w:t>, </w:t>
            </w:r>
            <w:r w:rsidRPr="00F013FA">
              <w:rPr>
                <w:rFonts w:ascii="Arial" w:eastAsia="Times New Roman" w:hAnsi="Arial" w:cs="Arial"/>
                <w:b/>
                <w:bCs/>
                <w:sz w:val="20"/>
                <w:szCs w:val="20"/>
                <w:lang w:eastAsia="pt-BR"/>
              </w:rPr>
              <w:t>Coordenador(a)</w:t>
            </w:r>
            <w:r w:rsidRPr="00F013FA">
              <w:rPr>
                <w:rFonts w:ascii="Arial" w:eastAsia="Times New Roman" w:hAnsi="Arial" w:cs="Arial"/>
                <w:sz w:val="20"/>
                <w:szCs w:val="20"/>
                <w:lang w:eastAsia="pt-BR"/>
              </w:rPr>
              <w:t>, em 04/08/2022, às 13:40, conforme horário oficial de Brasília, com fundamento no artigo 18 caput e seus §§ 1º e 2º, do </w:t>
            </w:r>
            <w:hyperlink r:id="rId19" w:tgtFrame="_blank" w:tooltip="Acesse o Decreto" w:history="1">
              <w:r w:rsidRPr="00F013FA">
                <w:rPr>
                  <w:rFonts w:ascii="Arial" w:eastAsia="Times New Roman" w:hAnsi="Arial" w:cs="Arial"/>
                  <w:color w:val="0000FF"/>
                  <w:sz w:val="20"/>
                  <w:szCs w:val="20"/>
                  <w:u w:val="single"/>
                  <w:lang w:eastAsia="pt-BR"/>
                </w:rPr>
                <w:t>Decreto nº 21.794, de 5 Abril de 2017.</w:t>
              </w:r>
            </w:hyperlink>
          </w:p>
        </w:tc>
      </w:tr>
    </w:tbl>
    <w:p w14:paraId="4C985B58" w14:textId="77777777" w:rsidR="00F013FA" w:rsidRPr="00F013FA" w:rsidRDefault="00F013FA" w:rsidP="00F013FA">
      <w:pPr>
        <w:spacing w:after="60" w:line="240" w:lineRule="auto"/>
        <w:jc w:val="both"/>
        <w:rPr>
          <w:rFonts w:ascii="Arial" w:eastAsia="Times New Roman" w:hAnsi="Arial" w:cs="Arial"/>
          <w:color w:val="000000"/>
          <w:sz w:val="20"/>
          <w:szCs w:val="20"/>
          <w:lang w:eastAsia="pt-BR"/>
        </w:rPr>
      </w:pPr>
      <w:r w:rsidRPr="00F013FA">
        <w:rPr>
          <w:rFonts w:ascii="Arial" w:eastAsia="Times New Roman" w:hAnsi="Arial" w:cs="Arial"/>
          <w:color w:val="000000"/>
          <w:sz w:val="20"/>
          <w:szCs w:val="20"/>
          <w:lang w:eastAsia="pt-BR"/>
        </w:rPr>
        <w:pict w14:anchorId="27B4494A">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9407"/>
      </w:tblGrid>
      <w:tr w:rsidR="00F013FA" w:rsidRPr="00F013FA" w14:paraId="7E8BE1D5" w14:textId="77777777" w:rsidTr="00F013FA">
        <w:trPr>
          <w:tblCellSpacing w:w="15" w:type="dxa"/>
        </w:trPr>
        <w:tc>
          <w:tcPr>
            <w:tcW w:w="0" w:type="auto"/>
            <w:vAlign w:val="center"/>
            <w:hideMark/>
          </w:tcPr>
          <w:p w14:paraId="0BF5154B" w14:textId="3BAA6FDD"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hAnsi="Arial" w:cs="Arial"/>
                <w:noProof/>
                <w:sz w:val="20"/>
                <w:szCs w:val="20"/>
              </w:rPr>
              <w:lastRenderedPageBreak/>
              <w:drawing>
                <wp:inline distT="0" distB="0" distL="0" distR="0" wp14:anchorId="4A6C6995" wp14:editId="103AD282">
                  <wp:extent cx="819150" cy="819150"/>
                  <wp:effectExtent l="0" t="0" r="0" b="0"/>
                  <wp:docPr id="1" name="Imagem 1"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ódigo QR&#10;&#10;Descrição gerada automa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0" w:type="auto"/>
            <w:vAlign w:val="center"/>
            <w:hideMark/>
          </w:tcPr>
          <w:p w14:paraId="543E8BF4" w14:textId="77777777" w:rsidR="00F013FA" w:rsidRPr="00F013FA" w:rsidRDefault="00F013FA" w:rsidP="00F013FA">
            <w:pPr>
              <w:spacing w:after="0" w:line="240" w:lineRule="auto"/>
              <w:jc w:val="both"/>
              <w:rPr>
                <w:rFonts w:ascii="Arial" w:eastAsia="Times New Roman" w:hAnsi="Arial" w:cs="Arial"/>
                <w:sz w:val="20"/>
                <w:szCs w:val="20"/>
                <w:lang w:eastAsia="pt-BR"/>
              </w:rPr>
            </w:pPr>
            <w:r w:rsidRPr="00F013FA">
              <w:rPr>
                <w:rFonts w:ascii="Arial" w:eastAsia="Times New Roman" w:hAnsi="Arial" w:cs="Arial"/>
                <w:sz w:val="20"/>
                <w:szCs w:val="20"/>
                <w:lang w:eastAsia="pt-BR"/>
              </w:rPr>
              <w:t>A autenticidade deste documento pode ser conferida no site </w:t>
            </w:r>
            <w:hyperlink r:id="rId21" w:tgtFrame="_blank" w:tooltip="Página de Autenticidade de Documentos" w:history="1">
              <w:r w:rsidRPr="00F013FA">
                <w:rPr>
                  <w:rFonts w:ascii="Arial" w:eastAsia="Times New Roman" w:hAnsi="Arial" w:cs="Arial"/>
                  <w:color w:val="0000FF"/>
                  <w:sz w:val="20"/>
                  <w:szCs w:val="20"/>
                  <w:u w:val="single"/>
                  <w:lang w:eastAsia="pt-BR"/>
                </w:rPr>
                <w:t>portal do SEI</w:t>
              </w:r>
            </w:hyperlink>
            <w:r w:rsidRPr="00F013FA">
              <w:rPr>
                <w:rFonts w:ascii="Arial" w:eastAsia="Times New Roman" w:hAnsi="Arial" w:cs="Arial"/>
                <w:sz w:val="20"/>
                <w:szCs w:val="20"/>
                <w:lang w:eastAsia="pt-BR"/>
              </w:rPr>
              <w:t>, informando o código verificador </w:t>
            </w:r>
            <w:r w:rsidRPr="00F013FA">
              <w:rPr>
                <w:rFonts w:ascii="Arial" w:eastAsia="Times New Roman" w:hAnsi="Arial" w:cs="Arial"/>
                <w:b/>
                <w:bCs/>
                <w:sz w:val="20"/>
                <w:szCs w:val="20"/>
                <w:lang w:eastAsia="pt-BR"/>
              </w:rPr>
              <w:t>0030301868</w:t>
            </w:r>
            <w:r w:rsidRPr="00F013FA">
              <w:rPr>
                <w:rFonts w:ascii="Arial" w:eastAsia="Times New Roman" w:hAnsi="Arial" w:cs="Arial"/>
                <w:sz w:val="20"/>
                <w:szCs w:val="20"/>
                <w:lang w:eastAsia="pt-BR"/>
              </w:rPr>
              <w:t> e o código CRC </w:t>
            </w:r>
            <w:r w:rsidRPr="00F013FA">
              <w:rPr>
                <w:rFonts w:ascii="Arial" w:eastAsia="Times New Roman" w:hAnsi="Arial" w:cs="Arial"/>
                <w:b/>
                <w:bCs/>
                <w:sz w:val="20"/>
                <w:szCs w:val="20"/>
                <w:lang w:eastAsia="pt-BR"/>
              </w:rPr>
              <w:t>93B10D1A</w:t>
            </w:r>
            <w:r w:rsidRPr="00F013FA">
              <w:rPr>
                <w:rFonts w:ascii="Arial" w:eastAsia="Times New Roman" w:hAnsi="Arial" w:cs="Arial"/>
                <w:sz w:val="20"/>
                <w:szCs w:val="20"/>
                <w:lang w:eastAsia="pt-BR"/>
              </w:rPr>
              <w:t>.</w:t>
            </w:r>
          </w:p>
        </w:tc>
      </w:tr>
    </w:tbl>
    <w:p w14:paraId="6AB13EA9" w14:textId="77777777" w:rsidR="002B0C81" w:rsidRPr="00F013FA" w:rsidRDefault="002B0C81" w:rsidP="00F013FA">
      <w:pPr>
        <w:jc w:val="both"/>
        <w:rPr>
          <w:rFonts w:ascii="Arial" w:hAnsi="Arial" w:cs="Arial"/>
          <w:sz w:val="24"/>
          <w:szCs w:val="24"/>
        </w:rPr>
      </w:pPr>
    </w:p>
    <w:sectPr w:rsidR="002B0C81" w:rsidRPr="00F013FA" w:rsidSect="00F013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FA"/>
    <w:rsid w:val="002B0C81"/>
    <w:rsid w:val="005574D6"/>
    <w:rsid w:val="00F01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1F11"/>
  <w15:chartTrackingRefBased/>
  <w15:docId w15:val="{E50AD03D-DFD4-4EFA-9219-42CF2AE7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013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013FA"/>
    <w:rPr>
      <w:color w:val="0000FF"/>
      <w:u w:val="single"/>
    </w:rPr>
  </w:style>
  <w:style w:type="paragraph" w:customStyle="1" w:styleId="tabelatextocentralizado">
    <w:name w:val="tabela_texto_centralizado"/>
    <w:basedOn w:val="Normal"/>
    <w:rsid w:val="00F013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013FA"/>
    <w:rPr>
      <w:b/>
      <w:bCs/>
    </w:rPr>
  </w:style>
  <w:style w:type="paragraph" w:customStyle="1" w:styleId="textoalinhadodireita">
    <w:name w:val="texto_alinhado_direita"/>
    <w:basedOn w:val="Normal"/>
    <w:rsid w:val="00F013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F013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013F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56030">
      <w:bodyDiv w:val="1"/>
      <w:marLeft w:val="0"/>
      <w:marRight w:val="0"/>
      <w:marTop w:val="0"/>
      <w:marBottom w:val="0"/>
      <w:divBdr>
        <w:top w:val="none" w:sz="0" w:space="0" w:color="auto"/>
        <w:left w:val="none" w:sz="0" w:space="0" w:color="auto"/>
        <w:bottom w:val="none" w:sz="0" w:space="0" w:color="auto"/>
        <w:right w:val="none" w:sz="0" w:space="0" w:color="auto"/>
      </w:divBdr>
      <w:divsChild>
        <w:div w:id="533814244">
          <w:marLeft w:val="0"/>
          <w:marRight w:val="0"/>
          <w:marTop w:val="0"/>
          <w:marBottom w:val="0"/>
          <w:divBdr>
            <w:top w:val="none" w:sz="0" w:space="0" w:color="auto"/>
            <w:left w:val="none" w:sz="0" w:space="0" w:color="auto"/>
            <w:bottom w:val="none" w:sz="0" w:space="0" w:color="auto"/>
            <w:right w:val="none" w:sz="0" w:space="0" w:color="auto"/>
          </w:divBdr>
        </w:div>
        <w:div w:id="157203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az.fazenda.gov.br/legislacao/convenios/2018/convenio-icms-142-18" TargetMode="External"/><Relationship Id="rId13" Type="http://schemas.openxmlformats.org/officeDocument/2006/relationships/hyperlink" Target="https://legislacao.sefin.ro.gov.br/textoLegislacao.jsp?texto=451" TargetMode="External"/><Relationship Id="rId18" Type="http://schemas.openxmlformats.org/officeDocument/2006/relationships/hyperlink" Target="http://www.diof.ro.gov.br/data/uploads/2017/04/Doe-05_04_2017.pdf" TargetMode="External"/><Relationship Id="rId3" Type="http://schemas.openxmlformats.org/officeDocument/2006/relationships/webSettings" Target="webSettings.xml"/><Relationship Id="rId21" Type="http://schemas.openxmlformats.org/officeDocument/2006/relationships/hyperlink" Target="http://sei.sistemas.ro.gov.br/sei/controlador_externo.php?acao=documento_conferir&amp;id_orgao_acesso_externo=0" TargetMode="External"/><Relationship Id="rId7" Type="http://schemas.openxmlformats.org/officeDocument/2006/relationships/hyperlink" Target="https://legislacao.sefin.ro.gov.br/textoLegislacao.jsp?texto=209" TargetMode="External"/><Relationship Id="rId12" Type="http://schemas.openxmlformats.org/officeDocument/2006/relationships/hyperlink" Target="https://sei.sistemas.ro.gov.br/sei/controlador.php?acao=protocolo_visualizar&amp;id_protocolo=30273795&amp;id_procedimento_atual=28720176&amp;infra_sistema=100000100&amp;infra_unidade_atual=110002271&amp;infra_hash=faeff18763d51ef15d171b968043db15cb508aae37451bd7244ea818d2092d7d" TargetMode="External"/><Relationship Id="rId17" Type="http://schemas.openxmlformats.org/officeDocument/2006/relationships/hyperlink" Target="http://www.diof.ro.gov.br/data/uploads/2017/04/Doe-05_04_2017.pdf" TargetMode="External"/><Relationship Id="rId2" Type="http://schemas.openxmlformats.org/officeDocument/2006/relationships/settings" Target="settings.xml"/><Relationship Id="rId16" Type="http://schemas.openxmlformats.org/officeDocument/2006/relationships/hyperlink" Target="http://www.diof.ro.gov.br/data/uploads/2017/04/Doe-05_04_2017.pdf"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legislacao.sefin.ro.gov.br/textoLegislacao.jsp?texto=246" TargetMode="External"/><Relationship Id="rId11" Type="http://schemas.openxmlformats.org/officeDocument/2006/relationships/hyperlink" Target="https://legislacao.sefin.ro.gov.br/textoLegislacao.jsp?texto=451" TargetMode="External"/><Relationship Id="rId5" Type="http://schemas.openxmlformats.org/officeDocument/2006/relationships/hyperlink" Target="https://legislacao.sefin.ro.gov.br/textoLegislacao.jsp?texto=128"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legislacao.sefin.ro.gov.br/textoLegislacao.jsp?texto=209" TargetMode="External"/><Relationship Id="rId19" Type="http://schemas.openxmlformats.org/officeDocument/2006/relationships/hyperlink" Target="http://www.diof.ro.gov.br/data/uploads/2017/04/Doe-05_04_2017.pdf" TargetMode="External"/><Relationship Id="rId4" Type="http://schemas.openxmlformats.org/officeDocument/2006/relationships/image" Target="media/image1.png"/><Relationship Id="rId9" Type="http://schemas.openxmlformats.org/officeDocument/2006/relationships/hyperlink" Target="https://legislacao.sefin.ro.gov.br/textoLegislacao.jsp?texto=246" TargetMode="External"/><Relationship Id="rId14" Type="http://schemas.openxmlformats.org/officeDocument/2006/relationships/hyperlink" Target="https://legislacao.sefin.ro.gov.br/textoLegislacao.jsp?texto=451"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1716</Words>
  <Characters>9267</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Huther de Moraes</dc:creator>
  <cp:keywords/>
  <dc:description/>
  <cp:lastModifiedBy>Claudio Huther de Moraes</cp:lastModifiedBy>
  <cp:revision>2</cp:revision>
  <dcterms:created xsi:type="dcterms:W3CDTF">2022-09-02T12:57:00Z</dcterms:created>
  <dcterms:modified xsi:type="dcterms:W3CDTF">2022-09-02T13:01:00Z</dcterms:modified>
</cp:coreProperties>
</file>