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9A6F38" w14:textId="77777777" w:rsidR="001706D1" w:rsidRDefault="001706D1" w:rsidP="006870E6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</w:p>
    <w:p w14:paraId="67383289" w14:textId="46878E39" w:rsidR="00F61FD7" w:rsidRDefault="00F61FD7" w:rsidP="00F61FD7">
      <w:pPr>
        <w:spacing w:after="0" w:line="240" w:lineRule="auto"/>
        <w:rPr>
          <w:rFonts w:eastAsia="Times New Roman" w:cstheme="minorHAnsi"/>
          <w:color w:val="FF0000"/>
          <w:sz w:val="20"/>
          <w:szCs w:val="20"/>
          <w:lang w:eastAsia="pt-BR"/>
        </w:rPr>
      </w:pPr>
      <w:r w:rsidRPr="00C77D25">
        <w:rPr>
          <w:rFonts w:eastAsia="Times New Roman" w:cstheme="minorHAnsi"/>
          <w:color w:val="FF0000"/>
          <w:sz w:val="20"/>
          <w:szCs w:val="20"/>
          <w:lang w:eastAsia="pt-BR"/>
        </w:rPr>
        <w:t>* Este texto não substitui o publicado no DOE.</w:t>
      </w:r>
    </w:p>
    <w:p w14:paraId="65546A2A" w14:textId="05253423" w:rsidR="006870E6" w:rsidRDefault="006870E6" w:rsidP="006870E6">
      <w:pPr>
        <w:spacing w:before="15" w:after="15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</w:p>
    <w:p w14:paraId="21477306" w14:textId="77777777" w:rsidR="00927D7A" w:rsidRPr="00927D7A" w:rsidRDefault="00927D7A" w:rsidP="00927D7A">
      <w:pPr>
        <w:rPr>
          <w:color w:val="000000"/>
          <w:sz w:val="20"/>
          <w:szCs w:val="20"/>
        </w:rPr>
      </w:pPr>
      <w:r w:rsidRPr="00927D7A">
        <w:rPr>
          <w:color w:val="000000"/>
          <w:sz w:val="20"/>
          <w:szCs w:val="20"/>
        </w:rPr>
        <w:t>Diário Oficial do Estado de Rondônia nº 138</w:t>
      </w:r>
      <w:r w:rsidRPr="00927D7A">
        <w:rPr>
          <w:color w:val="000000"/>
          <w:sz w:val="20"/>
          <w:szCs w:val="20"/>
        </w:rPr>
        <w:br/>
        <w:t>Disponibilização: 21/07/2022</w:t>
      </w:r>
      <w:r w:rsidRPr="00927D7A">
        <w:rPr>
          <w:color w:val="000000"/>
          <w:sz w:val="20"/>
          <w:szCs w:val="20"/>
        </w:rPr>
        <w:br/>
        <w:t>Publicação: 21/07/2022</w:t>
      </w:r>
    </w:p>
    <w:p w14:paraId="4D147FC0" w14:textId="3FCF7B14" w:rsidR="00927D7A" w:rsidRPr="00927D7A" w:rsidRDefault="00927D7A" w:rsidP="00927D7A">
      <w:pPr>
        <w:jc w:val="center"/>
        <w:rPr>
          <w:rFonts w:cstheme="minorHAnsi"/>
          <w:color w:val="000000"/>
          <w:sz w:val="24"/>
          <w:szCs w:val="24"/>
        </w:rPr>
      </w:pPr>
      <w:r w:rsidRPr="00927D7A">
        <w:rPr>
          <w:rFonts w:cstheme="minorHAnsi"/>
          <w:noProof/>
          <w:color w:val="000000"/>
          <w:sz w:val="24"/>
          <w:szCs w:val="24"/>
        </w:rPr>
        <w:drawing>
          <wp:inline distT="0" distB="0" distL="0" distR="0" wp14:anchorId="1FC4A6F4" wp14:editId="1EE7DB29">
            <wp:extent cx="933450" cy="714375"/>
            <wp:effectExtent l="0" t="0" r="0" b="9525"/>
            <wp:docPr id="7" name="Imagem 7" descr="Uma imagem contendo Logotip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7" descr="Uma imagem contendo Logotipo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" cy="71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75C909" w14:textId="77777777" w:rsidR="00927D7A" w:rsidRPr="00927D7A" w:rsidRDefault="00927D7A" w:rsidP="00927D7A">
      <w:pPr>
        <w:pStyle w:val="NormalWeb"/>
        <w:spacing w:before="0" w:beforeAutospacing="0" w:after="0" w:afterAutospacing="0"/>
        <w:jc w:val="center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br/>
        <w:t>Casa Civil - CASA CIVIL</w:t>
      </w:r>
      <w:r w:rsidRPr="00927D7A">
        <w:rPr>
          <w:rFonts w:asciiTheme="minorHAnsi" w:hAnsiTheme="minorHAnsi" w:cstheme="minorHAnsi"/>
          <w:color w:val="000000"/>
        </w:rPr>
        <w:br/>
        <w:t>  </w:t>
      </w:r>
    </w:p>
    <w:p w14:paraId="0FAE2169" w14:textId="2E34D711" w:rsidR="00927D7A" w:rsidRDefault="00927D7A" w:rsidP="00927D7A">
      <w:pPr>
        <w:pStyle w:val="newcentralizartext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DECRETO N° 27.350, DE 20 DE JULHO DE 2022.</w:t>
      </w:r>
    </w:p>
    <w:p w14:paraId="3C2B7E18" w14:textId="77777777" w:rsidR="00927D7A" w:rsidRPr="00927D7A" w:rsidRDefault="00927D7A" w:rsidP="00927D7A">
      <w:pPr>
        <w:pStyle w:val="newcentralizartext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</w:p>
    <w:p w14:paraId="0547404C" w14:textId="25B347E2" w:rsidR="00927D7A" w:rsidRDefault="00927D7A" w:rsidP="00927D7A">
      <w:pPr>
        <w:pStyle w:val="newtextojustificadorecprimeirlinhaespsimp"/>
        <w:spacing w:before="0" w:beforeAutospacing="0" w:after="0" w:afterAutospacing="0"/>
        <w:ind w:left="3402"/>
        <w:jc w:val="both"/>
        <w:rPr>
          <w:rFonts w:asciiTheme="minorHAnsi" w:hAnsiTheme="minorHAnsi" w:cstheme="minorHAnsi"/>
          <w:color w:val="000000"/>
        </w:rPr>
      </w:pPr>
      <w:r>
        <w:rPr>
          <w:color w:val="000000"/>
        </w:rPr>
        <w:t>Acresce e revoga dispositivos do Regulamento do Imposto sobre Operações Relativas à Circulação de Mercadorias e sobre Prestações de Serviços de Transporte Interestadual e Intermunicipal e de Comunicação - RICMS/RO, aprovado pelo Decreto n° 22.721, de 5 de abril de 2018, no âmbito do CONFAZ, com alterações oriundas de Convênios ICMS.</w:t>
      </w:r>
    </w:p>
    <w:p w14:paraId="2897F1FD" w14:textId="4D02F394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3402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 </w:t>
      </w:r>
    </w:p>
    <w:p w14:paraId="682B46B5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O GOVERNADOR DO ESTADO DE RONDÔNIA, no uso das atribuições que lhe confere o inciso V do artigo 65 da Constituição do Estado,</w:t>
      </w:r>
    </w:p>
    <w:p w14:paraId="5F4478C0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 </w:t>
      </w:r>
    </w:p>
    <w:p w14:paraId="60D94646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  <w:u w:val="single"/>
        </w:rPr>
        <w:t>D</w:t>
      </w:r>
      <w:r w:rsidRPr="00927D7A">
        <w:rPr>
          <w:rFonts w:asciiTheme="minorHAnsi" w:hAnsiTheme="minorHAnsi" w:cstheme="minorHAnsi"/>
          <w:color w:val="000000"/>
        </w:rPr>
        <w:t> </w:t>
      </w:r>
      <w:r w:rsidRPr="00927D7A">
        <w:rPr>
          <w:rFonts w:asciiTheme="minorHAnsi" w:hAnsiTheme="minorHAnsi" w:cstheme="minorHAnsi"/>
          <w:color w:val="000000"/>
          <w:u w:val="single"/>
        </w:rPr>
        <w:t>E</w:t>
      </w:r>
      <w:r w:rsidRPr="00927D7A">
        <w:rPr>
          <w:rFonts w:asciiTheme="minorHAnsi" w:hAnsiTheme="minorHAnsi" w:cstheme="minorHAnsi"/>
          <w:color w:val="000000"/>
        </w:rPr>
        <w:t> </w:t>
      </w:r>
      <w:r w:rsidRPr="00927D7A">
        <w:rPr>
          <w:rFonts w:asciiTheme="minorHAnsi" w:hAnsiTheme="minorHAnsi" w:cstheme="minorHAnsi"/>
          <w:color w:val="000000"/>
          <w:u w:val="single"/>
        </w:rPr>
        <w:t>C</w:t>
      </w:r>
      <w:r w:rsidRPr="00927D7A">
        <w:rPr>
          <w:rFonts w:asciiTheme="minorHAnsi" w:hAnsiTheme="minorHAnsi" w:cstheme="minorHAnsi"/>
          <w:color w:val="000000"/>
        </w:rPr>
        <w:t> </w:t>
      </w:r>
      <w:r w:rsidRPr="00927D7A">
        <w:rPr>
          <w:rFonts w:asciiTheme="minorHAnsi" w:hAnsiTheme="minorHAnsi" w:cstheme="minorHAnsi"/>
          <w:color w:val="000000"/>
          <w:u w:val="single"/>
        </w:rPr>
        <w:t>R</w:t>
      </w:r>
      <w:r w:rsidRPr="00927D7A">
        <w:rPr>
          <w:rFonts w:asciiTheme="minorHAnsi" w:hAnsiTheme="minorHAnsi" w:cstheme="minorHAnsi"/>
          <w:color w:val="000000"/>
        </w:rPr>
        <w:t> </w:t>
      </w:r>
      <w:r w:rsidRPr="00927D7A">
        <w:rPr>
          <w:rFonts w:asciiTheme="minorHAnsi" w:hAnsiTheme="minorHAnsi" w:cstheme="minorHAnsi"/>
          <w:color w:val="000000"/>
          <w:u w:val="single"/>
        </w:rPr>
        <w:t>E</w:t>
      </w:r>
      <w:r w:rsidRPr="00927D7A">
        <w:rPr>
          <w:rFonts w:asciiTheme="minorHAnsi" w:hAnsiTheme="minorHAnsi" w:cstheme="minorHAnsi"/>
          <w:color w:val="000000"/>
        </w:rPr>
        <w:t> </w:t>
      </w:r>
      <w:r w:rsidRPr="00927D7A">
        <w:rPr>
          <w:rFonts w:asciiTheme="minorHAnsi" w:hAnsiTheme="minorHAnsi" w:cstheme="minorHAnsi"/>
          <w:color w:val="000000"/>
          <w:u w:val="single"/>
        </w:rPr>
        <w:t>T</w:t>
      </w:r>
      <w:r w:rsidRPr="00927D7A">
        <w:rPr>
          <w:rFonts w:asciiTheme="minorHAnsi" w:hAnsiTheme="minorHAnsi" w:cstheme="minorHAnsi"/>
          <w:color w:val="000000"/>
        </w:rPr>
        <w:t> </w:t>
      </w:r>
      <w:r w:rsidRPr="00927D7A">
        <w:rPr>
          <w:rFonts w:asciiTheme="minorHAnsi" w:hAnsiTheme="minorHAnsi" w:cstheme="minorHAnsi"/>
          <w:color w:val="000000"/>
          <w:u w:val="single"/>
        </w:rPr>
        <w:t>A</w:t>
      </w:r>
      <w:r w:rsidRPr="00927D7A">
        <w:rPr>
          <w:rFonts w:asciiTheme="minorHAnsi" w:hAnsiTheme="minorHAnsi" w:cstheme="minorHAnsi"/>
          <w:color w:val="000000"/>
        </w:rPr>
        <w:t>:</w:t>
      </w:r>
    </w:p>
    <w:p w14:paraId="0A69D42F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 </w:t>
      </w:r>
    </w:p>
    <w:p w14:paraId="18FDC001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Art. 1°  Acresce a Seção VII-A ao Capítulo I da Parte 5 do Anexo X do Regulamento do Imposto sobre Operações Relativas à Circulação de Mercadorias e sobre Prestações de Serviços de Transporte Interestadual e Intermunicipal e de Comunicação - RICMS/RO, aprovado pelo Decreto n° 22.721, de 5 de abril de 2018, com a seguinte redação:</w:t>
      </w:r>
    </w:p>
    <w:p w14:paraId="59BBB14A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 </w:t>
      </w:r>
    </w:p>
    <w:p w14:paraId="108D564D" w14:textId="77777777" w:rsidR="00927D7A" w:rsidRPr="00927D7A" w:rsidRDefault="00927D7A" w:rsidP="00927D7A">
      <w:pPr>
        <w:pStyle w:val="newtabelatextocentralizado"/>
        <w:spacing w:before="0" w:beforeAutospacing="0" w:after="0" w:afterAutospacing="0"/>
        <w:ind w:left="60" w:right="60"/>
        <w:jc w:val="center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“</w:t>
      </w:r>
      <w:r w:rsidRPr="00927D7A">
        <w:rPr>
          <w:rStyle w:val="Forte"/>
          <w:rFonts w:asciiTheme="minorHAnsi" w:hAnsiTheme="minorHAnsi" w:cstheme="minorHAnsi"/>
          <w:color w:val="000000"/>
        </w:rPr>
        <w:t>Seção VII-A</w:t>
      </w:r>
    </w:p>
    <w:p w14:paraId="19348976" w14:textId="77777777" w:rsidR="00927D7A" w:rsidRPr="00927D7A" w:rsidRDefault="00927D7A" w:rsidP="00927D7A">
      <w:pPr>
        <w:pStyle w:val="newtabelatextocentralizado"/>
        <w:spacing w:before="0" w:beforeAutospacing="0" w:after="0" w:afterAutospacing="0"/>
        <w:ind w:left="60" w:right="60"/>
        <w:jc w:val="center"/>
        <w:rPr>
          <w:rFonts w:asciiTheme="minorHAnsi" w:hAnsiTheme="minorHAnsi" w:cstheme="minorHAnsi"/>
          <w:color w:val="000000"/>
        </w:rPr>
      </w:pPr>
      <w:r w:rsidRPr="00927D7A">
        <w:rPr>
          <w:rStyle w:val="Forte"/>
          <w:rFonts w:asciiTheme="minorHAnsi" w:hAnsiTheme="minorHAnsi" w:cstheme="minorHAnsi"/>
          <w:color w:val="000000"/>
        </w:rPr>
        <w:t>Do Tratamento Tributário Diferenciado aos Produtores de Biodiesel - B100</w:t>
      </w:r>
    </w:p>
    <w:p w14:paraId="0F8A4445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 </w:t>
      </w:r>
    </w:p>
    <w:p w14:paraId="4669BAB9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Art. 375-A.  Aos produtores de biodiesel - B100, assim definidos e autorizados pela Agência Nacional do Petróleo, Gás Natural e Biocombustíveis - ANP, poderá ser concedido tratamento tributário diferenciado para apuração do imposto incidente nas operações com B100 realizadas com diferimento ou suspensão, sem prejuízo da retenção e do pagamento do imposto diferido ou suspenso de acordo com as regras previstas no art. 375. (Convênio ICMS 206/21, efeitos a partir de 10/12/2021)</w:t>
      </w:r>
    </w:p>
    <w:p w14:paraId="612D12C3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 </w:t>
      </w:r>
    </w:p>
    <w:p w14:paraId="1935AE97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Parágrafo único.  O tratamento tributário diferenciado de que trata o </w:t>
      </w:r>
      <w:r w:rsidRPr="00927D7A">
        <w:rPr>
          <w:rStyle w:val="Forte"/>
          <w:rFonts w:asciiTheme="minorHAnsi" w:hAnsiTheme="minorHAnsi" w:cstheme="minorHAnsi"/>
          <w:color w:val="000000"/>
        </w:rPr>
        <w:t>caput</w:t>
      </w:r>
      <w:r w:rsidRPr="00927D7A">
        <w:rPr>
          <w:rFonts w:asciiTheme="minorHAnsi" w:hAnsiTheme="minorHAnsi" w:cstheme="minorHAnsi"/>
          <w:color w:val="000000"/>
        </w:rPr>
        <w:t> é opcional para o produtor de B100 e será por ele formalizado por meio de termo de acordo firmado com a CRE, na forma e condições estabelecidas em ato do Coordenador-Geral da Receita Estadual.</w:t>
      </w:r>
    </w:p>
    <w:p w14:paraId="3B7791F9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 </w:t>
      </w:r>
    </w:p>
    <w:p w14:paraId="7527E35B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Art. 375-B.  O produtor de B100 que optar pelo tratamento tributário diferenciado de que trata o art. 375-A, deve:</w:t>
      </w:r>
    </w:p>
    <w:p w14:paraId="164A1B76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 </w:t>
      </w:r>
    </w:p>
    <w:p w14:paraId="340C4C05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I - informar na Escrituração Fiscal Digital - EFD o valor do imposto correspondente às operações com B100 realizadas com diferimento ou suspensão:</w:t>
      </w:r>
    </w:p>
    <w:p w14:paraId="56CD2099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 </w:t>
      </w:r>
    </w:p>
    <w:p w14:paraId="1668840C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a) como ajuste a débito na apuração do ICMS devido pelas operações próprias de cada período;</w:t>
      </w:r>
    </w:p>
    <w:p w14:paraId="429E7A81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 </w:t>
      </w:r>
    </w:p>
    <w:p w14:paraId="54CE7EE7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 xml:space="preserve">b) como crédito </w:t>
      </w:r>
      <w:proofErr w:type="spellStart"/>
      <w:r w:rsidRPr="00927D7A">
        <w:rPr>
          <w:rFonts w:asciiTheme="minorHAnsi" w:hAnsiTheme="minorHAnsi" w:cstheme="minorHAnsi"/>
          <w:color w:val="000000"/>
        </w:rPr>
        <w:t>extra-apuração</w:t>
      </w:r>
      <w:proofErr w:type="spellEnd"/>
      <w:r w:rsidRPr="00927D7A">
        <w:rPr>
          <w:rFonts w:asciiTheme="minorHAnsi" w:hAnsiTheme="minorHAnsi" w:cstheme="minorHAnsi"/>
          <w:color w:val="000000"/>
        </w:rPr>
        <w:t>;</w:t>
      </w:r>
    </w:p>
    <w:p w14:paraId="10E74E2B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lastRenderedPageBreak/>
        <w:t> </w:t>
      </w:r>
    </w:p>
    <w:p w14:paraId="14AE90D4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II - apurar e pagar o imposto devido por operações próprias de acordo com as regras estabelecidas no art. 57 do RICMS/RO.</w:t>
      </w:r>
    </w:p>
    <w:p w14:paraId="07F6DA41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 </w:t>
      </w:r>
    </w:p>
    <w:p w14:paraId="241F9CCC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§ 1°  O valor de que trata o inciso I deve corresponder ao retido pelo substituto tributário e recolhido em favor do estado de Rondônia, de acordo com as regras previstas no art. 375.</w:t>
      </w:r>
    </w:p>
    <w:p w14:paraId="6BCF05E3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 </w:t>
      </w:r>
    </w:p>
    <w:p w14:paraId="0021D61F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§ 2°  O crédito de que trata a alínea “b” do inciso I do </w:t>
      </w:r>
      <w:r w:rsidRPr="00927D7A">
        <w:rPr>
          <w:rStyle w:val="Forte"/>
          <w:rFonts w:asciiTheme="minorHAnsi" w:hAnsiTheme="minorHAnsi" w:cstheme="minorHAnsi"/>
          <w:color w:val="000000"/>
        </w:rPr>
        <w:t>caput</w:t>
      </w:r>
      <w:r w:rsidRPr="00927D7A">
        <w:rPr>
          <w:rFonts w:asciiTheme="minorHAnsi" w:hAnsiTheme="minorHAnsi" w:cstheme="minorHAnsi"/>
          <w:color w:val="000000"/>
        </w:rPr>
        <w:t>:</w:t>
      </w:r>
    </w:p>
    <w:p w14:paraId="2D201218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 </w:t>
      </w:r>
    </w:p>
    <w:p w14:paraId="4262EA5A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I - fica condicionado à retenção e ao recolhimento do imposto diferido em favor do estado de Rondônia, quando o produtor de B100 estiver localizado em seu território, de acordo com as regras previstas no art. 375;</w:t>
      </w:r>
    </w:p>
    <w:p w14:paraId="67C5596E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 </w:t>
      </w:r>
    </w:p>
    <w:p w14:paraId="1904CFE4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II - deve ser apropriado e utilizado na forma e condições estabelecidas no Anexo VI do RICMS/RO, podendo ser:</w:t>
      </w:r>
    </w:p>
    <w:p w14:paraId="68A82C20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 </w:t>
      </w:r>
    </w:p>
    <w:p w14:paraId="16B1C0B6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a) utilizado para deduzir o imposto, na hipótese em que a apuração resulte em imposto a recolher;</w:t>
      </w:r>
    </w:p>
    <w:p w14:paraId="3C3ACDF9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 </w:t>
      </w:r>
    </w:p>
    <w:p w14:paraId="36FCAAB7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b) ressarcido por refinaria ou suas bases ou por estabelecimento a ela equiparado, mediante Nota Fiscal Eletrônica - NF-e para este fim emitida pelo produtor de B100, até o montante do imposto retido em favor de Rondônia, relativo a operações com o referido produto, observadas as demais disposições previstas no Anexo VI do RICMS/RO.</w:t>
      </w:r>
    </w:p>
    <w:p w14:paraId="162DFF7B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 </w:t>
      </w:r>
    </w:p>
    <w:p w14:paraId="7DAED2B8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Art. 375-C.  Ato COTEPE/ICMS divulgará a relação dos produtores de B100 estabelecidos em Rondônia optantes pelo tratamento tributário diferenciado de que trata esta Seção, observado o seguinte:</w:t>
      </w:r>
    </w:p>
    <w:p w14:paraId="36D6D029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 </w:t>
      </w:r>
    </w:p>
    <w:p w14:paraId="69FC7D59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I - a administração tributária deve comunicar à Secretaria Executiva do Conselho Nacional de Política Fazendária - SE-CONFAZ, a qualquer momento, a inclusão ou exclusão dos referidos produtores, e esta providenciará a publicação do ato COTEPE/ICMS no Diário Oficial da União e disponibilização no sítio eletrônico do CONFAZ; e</w:t>
      </w:r>
    </w:p>
    <w:p w14:paraId="1661B1FA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 </w:t>
      </w:r>
    </w:p>
    <w:p w14:paraId="3CF573DA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II - o ato COTEPE/ICMS deve conter, no mínimo: Razão Social, número CNPJ, a unidade federada do domicílio fiscal do contribuinte e a data do início da vigência do tratamento tributário diferenciado.</w:t>
      </w:r>
    </w:p>
    <w:p w14:paraId="2F6A363B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 </w:t>
      </w:r>
    </w:p>
    <w:p w14:paraId="18AF4C94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Art. 375-D.  Ato do Coordenador-Geral da Receita Estadual poderá estabelecer condições, limites e exceções para a fruição do tratamento diferenciado de que trata esta Seção, incluindo a divulgação dos códigos da Escrituração Fiscal Digital - EFD específicos para serem utilizados no registro:</w:t>
      </w:r>
    </w:p>
    <w:p w14:paraId="181986C3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 </w:t>
      </w:r>
    </w:p>
    <w:p w14:paraId="265394C6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I - do ajuste a débito de que trata a alínea “a” do inciso I do </w:t>
      </w:r>
      <w:r w:rsidRPr="00927D7A">
        <w:rPr>
          <w:rStyle w:val="Forte"/>
          <w:rFonts w:asciiTheme="minorHAnsi" w:hAnsiTheme="minorHAnsi" w:cstheme="minorHAnsi"/>
          <w:color w:val="000000"/>
        </w:rPr>
        <w:t>caput</w:t>
      </w:r>
      <w:r w:rsidRPr="00927D7A">
        <w:rPr>
          <w:rFonts w:asciiTheme="minorHAnsi" w:hAnsiTheme="minorHAnsi" w:cstheme="minorHAnsi"/>
          <w:color w:val="000000"/>
        </w:rPr>
        <w:t> do art. 375-B;</w:t>
      </w:r>
    </w:p>
    <w:p w14:paraId="6F7F30AA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 </w:t>
      </w:r>
    </w:p>
    <w:p w14:paraId="7D7AE78F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II - do crédito de que trata a alínea “b” do inciso I do </w:t>
      </w:r>
      <w:r w:rsidRPr="00927D7A">
        <w:rPr>
          <w:rStyle w:val="Forte"/>
          <w:rFonts w:asciiTheme="minorHAnsi" w:hAnsiTheme="minorHAnsi" w:cstheme="minorHAnsi"/>
          <w:color w:val="000000"/>
        </w:rPr>
        <w:t>caput</w:t>
      </w:r>
      <w:r w:rsidRPr="00927D7A">
        <w:rPr>
          <w:rFonts w:asciiTheme="minorHAnsi" w:hAnsiTheme="minorHAnsi" w:cstheme="minorHAnsi"/>
          <w:color w:val="000000"/>
        </w:rPr>
        <w:t> do art. 375-B;</w:t>
      </w:r>
    </w:p>
    <w:p w14:paraId="6F125840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 </w:t>
      </w:r>
    </w:p>
    <w:p w14:paraId="2DD08078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III - das notas fiscais de ressarcimento de que trata a alínea “b” do inciso III do § 2° do art. 375-B.</w:t>
      </w:r>
    </w:p>
    <w:p w14:paraId="32DD40C1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 </w:t>
      </w:r>
    </w:p>
    <w:p w14:paraId="6D09F8B0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Parágrafo único.  Do ato complementar mencionado no </w:t>
      </w:r>
      <w:r w:rsidRPr="00927D7A">
        <w:rPr>
          <w:rStyle w:val="Forte"/>
          <w:rFonts w:asciiTheme="minorHAnsi" w:hAnsiTheme="minorHAnsi" w:cstheme="minorHAnsi"/>
          <w:color w:val="000000"/>
        </w:rPr>
        <w:t>caput</w:t>
      </w:r>
      <w:r w:rsidRPr="00927D7A">
        <w:rPr>
          <w:rFonts w:asciiTheme="minorHAnsi" w:hAnsiTheme="minorHAnsi" w:cstheme="minorHAnsi"/>
          <w:color w:val="000000"/>
        </w:rPr>
        <w:t> deverá constar também a relação de estabelecimentos autorizados a promover o ressarcimento, a data limite para emissão da NF-e referida na alínea “b” do inciso II do § 2° do art. 375-B e o prazo para a refinaria efetuar o ressarcimento ao produtor do B100, após o seu recebimento, que não poderá ser anterior ao do vencimento do primeiro recolhimento a ser efetuado pela refinaria ao estado de Rondônia.” (NR).</w:t>
      </w:r>
    </w:p>
    <w:p w14:paraId="32966A34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 </w:t>
      </w:r>
    </w:p>
    <w:p w14:paraId="4F7526E1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lastRenderedPageBreak/>
        <w:t>Art. 2°  Em caráter excepcional, fica autorizado ao produtor rondoniense de B100 efetuar a opção pelo tratamento tributário diferenciado de que trata esta Seção, no prazo de 30 (trinta) dias, a contar da publicação deste Decreto, cujo os efeitos do termo de acordo retroagirão a 1° de janeiro de 2022.</w:t>
      </w:r>
    </w:p>
    <w:p w14:paraId="5C616558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 </w:t>
      </w:r>
    </w:p>
    <w:p w14:paraId="1F79D87B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Art. 3°  Fica incorporado ao ordenamento jurídico estadual as disposições do Convênio ICMS 73/20, de 30 de julho de 2020, que “Autoriza as unidades federadas que menciona, em face da crise econômica decorrente da pandemia causada pelo novo agente do Coronavírus (SARS-CoV-2), a não exigir o crédito tributário relativo ao ICMS que for devido pelo descumprimento de compromissos assumidos por contribuintes como contrapartida à concessão de benefícios fiscais ou financeiro-fiscais.”. (Efeitos a partir de 19/08/2020 até 31/12/2022 - Convênio ICMS 73/22, de 12 de maio de 2022)</w:t>
      </w:r>
    </w:p>
    <w:p w14:paraId="2072B5A9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 </w:t>
      </w:r>
    </w:p>
    <w:p w14:paraId="6BAFD91A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Art. 4°  Ficam revogados os itens 2 e 13 da Tabela 5 da Parte 5 do Anexo I do RICMS/RO, aprovado pelo Decreto n° 22.721, de 2018. (Convênio ICMS 26/21, efeitos a partir de 1°/01/2022) </w:t>
      </w:r>
    </w:p>
    <w:p w14:paraId="5428A9F0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 </w:t>
      </w:r>
    </w:p>
    <w:p w14:paraId="370C40D1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Art. 5°  Este Decreto entra em vigor na data de sua publicação,</w:t>
      </w:r>
      <w:r w:rsidRPr="00927D7A">
        <w:rPr>
          <w:rStyle w:val="Forte"/>
          <w:rFonts w:asciiTheme="minorHAnsi" w:hAnsiTheme="minorHAnsi" w:cstheme="minorHAnsi"/>
          <w:color w:val="E74C3C"/>
        </w:rPr>
        <w:t> </w:t>
      </w:r>
      <w:r w:rsidRPr="00927D7A">
        <w:rPr>
          <w:rFonts w:asciiTheme="minorHAnsi" w:hAnsiTheme="minorHAnsi" w:cstheme="minorHAnsi"/>
          <w:color w:val="000000"/>
        </w:rPr>
        <w:t>produzindo efeitos a contar de 1° de julho de 2022.</w:t>
      </w:r>
    </w:p>
    <w:p w14:paraId="6C1F6997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 </w:t>
      </w:r>
    </w:p>
    <w:p w14:paraId="0C22B3A1" w14:textId="77777777" w:rsidR="00927D7A" w:rsidRPr="00927D7A" w:rsidRDefault="00927D7A" w:rsidP="00927D7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Palácio do Governo do Estado de Rondônia, em 20 de julho de 2022, 134° da República.</w:t>
      </w:r>
    </w:p>
    <w:p w14:paraId="2A51DF03" w14:textId="77777777" w:rsidR="00927D7A" w:rsidRPr="00927D7A" w:rsidRDefault="00927D7A" w:rsidP="00927D7A">
      <w:pPr>
        <w:pStyle w:val="NormalWeb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 </w:t>
      </w:r>
    </w:p>
    <w:p w14:paraId="21E5406C" w14:textId="77777777" w:rsidR="00927D7A" w:rsidRPr="00927D7A" w:rsidRDefault="00927D7A" w:rsidP="00927D7A">
      <w:pPr>
        <w:pStyle w:val="newtabelatextocentralizado"/>
        <w:spacing w:before="0" w:beforeAutospacing="0" w:after="0" w:afterAutospacing="0"/>
        <w:ind w:left="60" w:right="60"/>
        <w:jc w:val="center"/>
        <w:rPr>
          <w:rFonts w:asciiTheme="minorHAnsi" w:hAnsiTheme="minorHAnsi" w:cstheme="minorHAnsi"/>
          <w:color w:val="000000"/>
        </w:rPr>
      </w:pPr>
      <w:r w:rsidRPr="00927D7A">
        <w:rPr>
          <w:rStyle w:val="Forte"/>
          <w:rFonts w:asciiTheme="minorHAnsi" w:hAnsiTheme="minorHAnsi" w:cstheme="minorHAnsi"/>
          <w:color w:val="000000"/>
        </w:rPr>
        <w:t>MARCOS JOSÉ ROCHA DOS SANTOS</w:t>
      </w:r>
    </w:p>
    <w:p w14:paraId="72E529E7" w14:textId="77777777" w:rsidR="00927D7A" w:rsidRPr="00927D7A" w:rsidRDefault="00927D7A" w:rsidP="00927D7A">
      <w:pPr>
        <w:pStyle w:val="newtabelatextocentralizado"/>
        <w:spacing w:before="0" w:beforeAutospacing="0" w:after="0" w:afterAutospacing="0"/>
        <w:ind w:left="60" w:right="60"/>
        <w:jc w:val="center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Governador</w:t>
      </w:r>
    </w:p>
    <w:p w14:paraId="5C85655F" w14:textId="77777777" w:rsidR="00927D7A" w:rsidRPr="00927D7A" w:rsidRDefault="00927D7A" w:rsidP="00927D7A">
      <w:pPr>
        <w:pStyle w:val="newtabelatextocentralizado"/>
        <w:spacing w:before="0" w:beforeAutospacing="0" w:after="0" w:afterAutospacing="0"/>
        <w:ind w:left="60" w:right="60"/>
        <w:jc w:val="center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 </w:t>
      </w:r>
    </w:p>
    <w:p w14:paraId="048EE16E" w14:textId="77777777" w:rsidR="00927D7A" w:rsidRPr="00927D7A" w:rsidRDefault="00927D7A" w:rsidP="00927D7A">
      <w:pPr>
        <w:pStyle w:val="newtabelatextocentralizado"/>
        <w:spacing w:before="0" w:beforeAutospacing="0" w:after="0" w:afterAutospacing="0"/>
        <w:ind w:left="60" w:right="60"/>
        <w:jc w:val="center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 </w:t>
      </w:r>
    </w:p>
    <w:p w14:paraId="786AEC5C" w14:textId="77777777" w:rsidR="00927D7A" w:rsidRPr="00927D7A" w:rsidRDefault="00927D7A" w:rsidP="00927D7A">
      <w:pPr>
        <w:pStyle w:val="newtabelatextocentralizado"/>
        <w:spacing w:before="0" w:beforeAutospacing="0" w:after="0" w:afterAutospacing="0"/>
        <w:ind w:left="60" w:right="60"/>
        <w:jc w:val="center"/>
        <w:rPr>
          <w:rFonts w:asciiTheme="minorHAnsi" w:hAnsiTheme="minorHAnsi" w:cstheme="minorHAnsi"/>
          <w:color w:val="000000"/>
        </w:rPr>
      </w:pPr>
      <w:r w:rsidRPr="00927D7A">
        <w:rPr>
          <w:rStyle w:val="Forte"/>
          <w:rFonts w:asciiTheme="minorHAnsi" w:hAnsiTheme="minorHAnsi" w:cstheme="minorHAnsi"/>
          <w:color w:val="000000"/>
        </w:rPr>
        <w:t>LUÍS FERNANDO PEREIRA DA SILVA</w:t>
      </w:r>
    </w:p>
    <w:p w14:paraId="38FA767D" w14:textId="77777777" w:rsidR="00927D7A" w:rsidRPr="00927D7A" w:rsidRDefault="00927D7A" w:rsidP="00927D7A">
      <w:pPr>
        <w:pStyle w:val="newtabelatextocentralizado"/>
        <w:spacing w:before="0" w:beforeAutospacing="0" w:after="0" w:afterAutospacing="0"/>
        <w:ind w:left="60" w:right="60"/>
        <w:jc w:val="center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Secretário de Estado de Finanças</w:t>
      </w:r>
    </w:p>
    <w:p w14:paraId="7BA076FE" w14:textId="77777777" w:rsidR="00927D7A" w:rsidRPr="00927D7A" w:rsidRDefault="00927D7A" w:rsidP="00927D7A">
      <w:pPr>
        <w:pStyle w:val="newtabelatextocentralizado"/>
        <w:spacing w:before="0" w:beforeAutospacing="0" w:after="0" w:afterAutospacing="0"/>
        <w:ind w:left="60" w:right="60"/>
        <w:jc w:val="center"/>
        <w:rPr>
          <w:rFonts w:asciiTheme="minorHAnsi" w:hAnsiTheme="minorHAnsi" w:cstheme="minorHAnsi"/>
          <w:color w:val="000000"/>
        </w:rPr>
      </w:pPr>
      <w:r w:rsidRPr="00927D7A">
        <w:rPr>
          <w:rFonts w:asciiTheme="minorHAnsi" w:hAnsiTheme="minorHAnsi" w:cstheme="minorHAnsi"/>
          <w:color w:val="000000"/>
        </w:rPr>
        <w:t> </w:t>
      </w:r>
    </w:p>
    <w:p w14:paraId="5601E974" w14:textId="77777777" w:rsidR="00927D7A" w:rsidRPr="00927D7A" w:rsidRDefault="00927D7A" w:rsidP="00927D7A">
      <w:pPr>
        <w:spacing w:after="60"/>
        <w:rPr>
          <w:rFonts w:ascii="Arial" w:hAnsi="Arial" w:cs="Arial"/>
          <w:color w:val="000000"/>
          <w:sz w:val="20"/>
          <w:szCs w:val="20"/>
        </w:rPr>
      </w:pPr>
      <w:r w:rsidRPr="00927D7A">
        <w:rPr>
          <w:rFonts w:ascii="Arial" w:hAnsi="Arial" w:cs="Arial"/>
          <w:color w:val="000000"/>
          <w:sz w:val="20"/>
          <w:szCs w:val="20"/>
        </w:rPr>
        <w:pict w14:anchorId="5645A931">
          <v:rect id="_x0000_i1032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927D7A" w:rsidRPr="00927D7A" w14:paraId="701B3665" w14:textId="77777777" w:rsidTr="00927D7A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265F8A9" w14:textId="0C2350AD" w:rsidR="00927D7A" w:rsidRPr="00927D7A" w:rsidRDefault="00927D7A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927D7A">
              <w:rPr>
                <w:rFonts w:cstheme="minorHAnsi"/>
                <w:noProof/>
                <w:color w:val="000000"/>
                <w:sz w:val="20"/>
                <w:szCs w:val="20"/>
              </w:rPr>
              <w:drawing>
                <wp:inline distT="0" distB="0" distL="0" distR="0" wp14:anchorId="4978B2BD" wp14:editId="21BA88EB">
                  <wp:extent cx="847725" cy="571500"/>
                  <wp:effectExtent l="0" t="0" r="9525" b="0"/>
                  <wp:docPr id="6" name="Imagem 6" descr="Interface gráfica do usuário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m 6" descr="Interface gráfica do usuário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3D0125FD" w14:textId="77777777" w:rsidR="00927D7A" w:rsidRPr="00927D7A" w:rsidRDefault="00927D7A">
            <w:pPr>
              <w:pStyle w:val="NormalWeb"/>
              <w:spacing w:before="0" w:beforeAutospacing="0" w:after="0" w:afterAutospacing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27D7A">
              <w:rPr>
                <w:rFonts w:asciiTheme="minorHAnsi" w:hAnsiTheme="minorHAnsi" w:cstheme="minorHAnsi"/>
                <w:sz w:val="20"/>
                <w:szCs w:val="20"/>
              </w:rPr>
              <w:t>Documento assinado eletronicamente por </w:t>
            </w:r>
            <w:proofErr w:type="spellStart"/>
            <w:r w:rsidRPr="00927D7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Luis</w:t>
            </w:r>
            <w:proofErr w:type="spellEnd"/>
            <w:r w:rsidRPr="00927D7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Fernando Pereira da Silva</w:t>
            </w:r>
            <w:r w:rsidRPr="00927D7A">
              <w:rPr>
                <w:rFonts w:asciiTheme="minorHAnsi" w:hAnsiTheme="minorHAnsi" w:cstheme="minorHAnsi"/>
                <w:sz w:val="20"/>
                <w:szCs w:val="20"/>
              </w:rPr>
              <w:t>, </w:t>
            </w:r>
            <w:r w:rsidRPr="00927D7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Secretário(a)</w:t>
            </w:r>
            <w:r w:rsidRPr="00927D7A">
              <w:rPr>
                <w:rFonts w:asciiTheme="minorHAnsi" w:hAnsiTheme="minorHAnsi" w:cstheme="minorHAnsi"/>
                <w:sz w:val="20"/>
                <w:szCs w:val="20"/>
              </w:rPr>
              <w:t>, em 20/07/2022, às 12:00, conforme horário oficial de Brasília, com fundamento no artigo 18 caput e seus §§ 1º e 2º, do </w:t>
            </w:r>
            <w:hyperlink r:id="rId6" w:tgtFrame="_blank" w:tooltip="Acesse o Decreto" w:history="1">
              <w:r w:rsidRPr="00927D7A">
                <w:rPr>
                  <w:rStyle w:val="Hyperlink"/>
                  <w:rFonts w:asciiTheme="minorHAnsi" w:hAnsiTheme="minorHAnsi" w:cstheme="minorHAnsi"/>
                  <w:sz w:val="20"/>
                  <w:szCs w:val="20"/>
                </w:rPr>
                <w:t>Decreto nº 21.794, de 5 Abril de 2017.</w:t>
              </w:r>
            </w:hyperlink>
          </w:p>
        </w:tc>
      </w:tr>
    </w:tbl>
    <w:p w14:paraId="5F02B893" w14:textId="77777777" w:rsidR="00927D7A" w:rsidRPr="00927D7A" w:rsidRDefault="00927D7A" w:rsidP="00927D7A">
      <w:pPr>
        <w:spacing w:after="60"/>
        <w:rPr>
          <w:rFonts w:cstheme="minorHAnsi"/>
          <w:color w:val="000000"/>
          <w:sz w:val="20"/>
          <w:szCs w:val="20"/>
        </w:rPr>
      </w:pPr>
      <w:r w:rsidRPr="00927D7A">
        <w:rPr>
          <w:rFonts w:cstheme="minorHAnsi"/>
          <w:color w:val="000000"/>
          <w:sz w:val="20"/>
          <w:szCs w:val="20"/>
        </w:rPr>
        <w:pict w14:anchorId="366DD2C1">
          <v:rect id="_x0000_i1034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927D7A" w:rsidRPr="00927D7A" w14:paraId="22962191" w14:textId="77777777" w:rsidTr="00927D7A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66FD139" w14:textId="7DC69D54" w:rsidR="00927D7A" w:rsidRPr="00927D7A" w:rsidRDefault="00927D7A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927D7A">
              <w:rPr>
                <w:rFonts w:cstheme="minorHAnsi"/>
                <w:noProof/>
                <w:color w:val="000000"/>
                <w:sz w:val="20"/>
                <w:szCs w:val="20"/>
              </w:rPr>
              <w:drawing>
                <wp:inline distT="0" distB="0" distL="0" distR="0" wp14:anchorId="2E3B04A4" wp14:editId="73076550">
                  <wp:extent cx="847725" cy="571500"/>
                  <wp:effectExtent l="0" t="0" r="9525" b="0"/>
                  <wp:docPr id="5" name="Imagem 5" descr="Interface gráfica do usuário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m 5" descr="Interface gráfica do usuário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0ABA27D1" w14:textId="77777777" w:rsidR="00927D7A" w:rsidRPr="00927D7A" w:rsidRDefault="00927D7A">
            <w:pPr>
              <w:pStyle w:val="NormalWeb"/>
              <w:spacing w:before="0" w:beforeAutospacing="0" w:after="0" w:afterAutospacing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27D7A">
              <w:rPr>
                <w:rFonts w:asciiTheme="minorHAnsi" w:hAnsiTheme="minorHAnsi" w:cstheme="minorHAnsi"/>
                <w:sz w:val="20"/>
                <w:szCs w:val="20"/>
              </w:rPr>
              <w:t>Documento assinado eletronicamente por </w:t>
            </w:r>
            <w:r w:rsidRPr="00927D7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Marcos José Rocha dos Santos</w:t>
            </w:r>
            <w:r w:rsidRPr="00927D7A">
              <w:rPr>
                <w:rFonts w:asciiTheme="minorHAnsi" w:hAnsiTheme="minorHAnsi" w:cstheme="minorHAnsi"/>
                <w:sz w:val="20"/>
                <w:szCs w:val="20"/>
              </w:rPr>
              <w:t>, </w:t>
            </w:r>
            <w:r w:rsidRPr="00927D7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Governador</w:t>
            </w:r>
            <w:r w:rsidRPr="00927D7A">
              <w:rPr>
                <w:rFonts w:asciiTheme="minorHAnsi" w:hAnsiTheme="minorHAnsi" w:cstheme="minorHAnsi"/>
                <w:sz w:val="20"/>
                <w:szCs w:val="20"/>
              </w:rPr>
              <w:t>, em 21/07/2022, às 12:33, conforme horário oficial de Brasília, com fundamento no artigo 18 caput e seus §§ 1º e 2º, do </w:t>
            </w:r>
            <w:hyperlink r:id="rId7" w:tgtFrame="_blank" w:tooltip="Acesse o Decreto" w:history="1">
              <w:r w:rsidRPr="00927D7A">
                <w:rPr>
                  <w:rStyle w:val="Hyperlink"/>
                  <w:rFonts w:asciiTheme="minorHAnsi" w:hAnsiTheme="minorHAnsi" w:cstheme="minorHAnsi"/>
                  <w:sz w:val="20"/>
                  <w:szCs w:val="20"/>
                </w:rPr>
                <w:t>Decreto nº 21.794, de 5 Abril de 2017.</w:t>
              </w:r>
            </w:hyperlink>
          </w:p>
        </w:tc>
      </w:tr>
    </w:tbl>
    <w:p w14:paraId="74928AB2" w14:textId="77777777" w:rsidR="00927D7A" w:rsidRPr="00927D7A" w:rsidRDefault="00927D7A" w:rsidP="00927D7A">
      <w:pPr>
        <w:spacing w:after="60"/>
        <w:rPr>
          <w:rFonts w:cstheme="minorHAnsi"/>
          <w:color w:val="000000"/>
          <w:sz w:val="20"/>
          <w:szCs w:val="20"/>
        </w:rPr>
      </w:pPr>
      <w:r w:rsidRPr="00927D7A">
        <w:rPr>
          <w:rFonts w:cstheme="minorHAnsi"/>
          <w:color w:val="000000"/>
          <w:sz w:val="20"/>
          <w:szCs w:val="20"/>
        </w:rPr>
        <w:pict w14:anchorId="292DC8D8">
          <v:rect id="_x0000_i103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927D7A" w:rsidRPr="00927D7A" w14:paraId="1267909A" w14:textId="77777777" w:rsidTr="00927D7A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4DFB265" w14:textId="1545EBB3" w:rsidR="00927D7A" w:rsidRPr="00927D7A" w:rsidRDefault="00927D7A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927D7A">
              <w:rPr>
                <w:rFonts w:cstheme="minorHAnsi"/>
                <w:noProof/>
                <w:color w:val="000000"/>
                <w:sz w:val="20"/>
                <w:szCs w:val="20"/>
              </w:rPr>
              <w:drawing>
                <wp:inline distT="0" distB="0" distL="0" distR="0" wp14:anchorId="5C7EC1F6" wp14:editId="74D7C8F9">
                  <wp:extent cx="819150" cy="819150"/>
                  <wp:effectExtent l="0" t="0" r="0" b="0"/>
                  <wp:docPr id="4" name="Imagem 4" descr="Código QR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m 4" descr="Código QR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04CB9D8B" w14:textId="77777777" w:rsidR="00927D7A" w:rsidRPr="00927D7A" w:rsidRDefault="00927D7A">
            <w:pPr>
              <w:pStyle w:val="NormalWeb"/>
              <w:spacing w:before="0" w:beforeAutospacing="0" w:after="0" w:afterAutospacing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27D7A">
              <w:rPr>
                <w:rFonts w:asciiTheme="minorHAnsi" w:hAnsiTheme="minorHAnsi" w:cstheme="minorHAnsi"/>
                <w:sz w:val="20"/>
                <w:szCs w:val="20"/>
              </w:rPr>
              <w:t>A autenticidade deste documento pode ser conferida no site </w:t>
            </w:r>
            <w:hyperlink r:id="rId9" w:tgtFrame="_blank" w:tooltip="Página de Autenticidade de Documentos" w:history="1">
              <w:r w:rsidRPr="00927D7A">
                <w:rPr>
                  <w:rStyle w:val="Hyperlink"/>
                  <w:rFonts w:asciiTheme="minorHAnsi" w:hAnsiTheme="minorHAnsi" w:cstheme="minorHAnsi"/>
                  <w:sz w:val="20"/>
                  <w:szCs w:val="20"/>
                </w:rPr>
                <w:t>portal do SEI</w:t>
              </w:r>
            </w:hyperlink>
            <w:r w:rsidRPr="00927D7A">
              <w:rPr>
                <w:rFonts w:asciiTheme="minorHAnsi" w:hAnsiTheme="minorHAnsi" w:cstheme="minorHAnsi"/>
                <w:sz w:val="20"/>
                <w:szCs w:val="20"/>
              </w:rPr>
              <w:t>, informando o código verificador </w:t>
            </w:r>
            <w:r w:rsidRPr="00927D7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0023897726</w:t>
            </w:r>
            <w:r w:rsidRPr="00927D7A">
              <w:rPr>
                <w:rFonts w:asciiTheme="minorHAnsi" w:hAnsiTheme="minorHAnsi" w:cstheme="minorHAnsi"/>
                <w:sz w:val="20"/>
                <w:szCs w:val="20"/>
              </w:rPr>
              <w:t> e o código CRC </w:t>
            </w:r>
            <w:r w:rsidRPr="00927D7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65F142D4</w:t>
            </w:r>
            <w:r w:rsidRPr="00927D7A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</w:tr>
    </w:tbl>
    <w:p w14:paraId="7F4DE10D" w14:textId="13F9CA37" w:rsidR="00927D7A" w:rsidRPr="006870E6" w:rsidRDefault="0051512C" w:rsidP="006870E6">
      <w:pPr>
        <w:spacing w:before="15" w:after="15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927D7A">
        <w:rPr>
          <w:rFonts w:cstheme="minorHAnsi"/>
          <w:color w:val="000000"/>
          <w:sz w:val="20"/>
          <w:szCs w:val="20"/>
        </w:rPr>
        <w:pict w14:anchorId="647FC01B">
          <v:rect id="_x0000_i1059" style="width:0;height:1.5pt" o:hralign="center" o:hrstd="t" o:hr="t" fillcolor="#a0a0a0" stroked="f"/>
        </w:pict>
      </w:r>
    </w:p>
    <w:sectPr w:rsidR="00927D7A" w:rsidRPr="006870E6" w:rsidSect="00F27CCD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1DCF"/>
    <w:rsid w:val="001706D1"/>
    <w:rsid w:val="002F2B4B"/>
    <w:rsid w:val="0051512C"/>
    <w:rsid w:val="006870E6"/>
    <w:rsid w:val="007D40C5"/>
    <w:rsid w:val="00927D7A"/>
    <w:rsid w:val="00AC2988"/>
    <w:rsid w:val="00B33F0C"/>
    <w:rsid w:val="00CF69A3"/>
    <w:rsid w:val="00E21DCF"/>
    <w:rsid w:val="00F27CCD"/>
    <w:rsid w:val="00F61F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3313FE52"/>
  <w15:chartTrackingRefBased/>
  <w15:docId w15:val="{9834857E-6D9D-461F-9C1D-5B1C01C66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870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centralizartexto">
    <w:name w:val="new_centralizar_texto"/>
    <w:basedOn w:val="Normal"/>
    <w:rsid w:val="006870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ementa">
    <w:name w:val="new_ementa"/>
    <w:basedOn w:val="Normal"/>
    <w:rsid w:val="006870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justificadorecprimeirlinhaespsimp">
    <w:name w:val="new_texto_justificado_rec_primeir_linha_esp_simp"/>
    <w:basedOn w:val="Normal"/>
    <w:rsid w:val="006870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abelatextocentralizado">
    <w:name w:val="new_tabela_texto_centralizado"/>
    <w:basedOn w:val="Normal"/>
    <w:rsid w:val="006870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6870E6"/>
    <w:rPr>
      <w:b/>
      <w:bCs/>
    </w:rPr>
  </w:style>
  <w:style w:type="character" w:styleId="Hyperlink">
    <w:name w:val="Hyperlink"/>
    <w:basedOn w:val="Fontepargpadro"/>
    <w:uiPriority w:val="99"/>
    <w:semiHidden/>
    <w:unhideWhenUsed/>
    <w:rsid w:val="006870E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326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627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21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059800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1876893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hyperlink" Target="http://www.diof.ro.gov.br/data/uploads/2017/04/Doe-05_04_2017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diof.ro.gov.br/data/uploads/2017/04/Doe-05_04_2017.pdf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://sei.sistemas.ro.gov.br/sei/controlador_externo.php?acao=documento_conferir&amp;id_orgao_acesso_externo=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3</Pages>
  <Words>1189</Words>
  <Characters>6426</Characters>
  <Application>Microsoft Office Word</Application>
  <DocSecurity>0</DocSecurity>
  <Lines>53</Lines>
  <Paragraphs>15</Paragraphs>
  <ScaleCrop>false</ScaleCrop>
  <Company/>
  <LinksUpToDate>false</LinksUpToDate>
  <CharactersWithSpaces>7600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DECRETO N° 27.350, DE 20 DE JULHO DE 2022.</dc:title>
  <dc:subject>Acresce e revoga dispositivos do Regulamento do Imposto sobre Operações Relativas à Circulação de Mercadorias e sobre Prestações de Serviços de Transporte Interestadual e Intermunicipal e de Comunicação - RICMS/RO, aprovado pelo Decreto n° 22.721, de 5 de abril de 2018, no âmbito do CONFAZ, com alterações oriundas de Convênios ICMS.</dc:subject>
  <dc:creator>Mariana Cavalcante Maciel</dc:creator>
  <cp:keywords/>
  <dc:description/>
  <cp:lastModifiedBy>Mariana Cavalcante Maciel</cp:lastModifiedBy>
  <cp:revision>14</cp:revision>
  <cp:lastPrinted>2022-07-22T12:05:00Z</cp:lastPrinted>
  <dcterms:created xsi:type="dcterms:W3CDTF">2022-07-20T16:44:00Z</dcterms:created>
  <dcterms:modified xsi:type="dcterms:W3CDTF">2022-07-22T12:22:00Z</dcterms:modified>
</cp:coreProperties>
</file>