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726"/>
        <w:rPr>
          <w:sz w:val="20"/>
        </w:rPr>
      </w:pPr>
      <w:r>
        <w:rPr>
          <w:sz w:val="20"/>
        </w:rPr>
        <w:drawing>
          <wp:inline distT="0" distB="0" distL="0" distR="0">
            <wp:extent cx="579297" cy="765809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9297" cy="7658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before="75"/>
        <w:ind w:left="2411" w:right="2411" w:firstLine="1"/>
        <w:jc w:val="center"/>
        <w:rPr>
          <w:b/>
          <w:sz w:val="26"/>
        </w:rPr>
      </w:pPr>
      <w:r>
        <w:rPr>
          <w:b/>
          <w:sz w:val="26"/>
        </w:rPr>
        <w:t>GOVERNO DO ESTADO DE RONDÔNIA SECRETARIA DE ESTADO DE FINANÇAS COORDENADORIA</w:t>
      </w:r>
      <w:r>
        <w:rPr>
          <w:b/>
          <w:spacing w:val="-12"/>
          <w:sz w:val="26"/>
        </w:rPr>
        <w:t> </w:t>
      </w:r>
      <w:r>
        <w:rPr>
          <w:b/>
          <w:sz w:val="26"/>
        </w:rPr>
        <w:t>DA</w:t>
      </w:r>
      <w:r>
        <w:rPr>
          <w:b/>
          <w:spacing w:val="-13"/>
          <w:sz w:val="26"/>
        </w:rPr>
        <w:t> </w:t>
      </w:r>
      <w:r>
        <w:rPr>
          <w:b/>
          <w:sz w:val="26"/>
        </w:rPr>
        <w:t>RECEITA</w:t>
      </w:r>
      <w:r>
        <w:rPr>
          <w:b/>
          <w:spacing w:val="-13"/>
          <w:sz w:val="26"/>
        </w:rPr>
        <w:t> </w:t>
      </w:r>
      <w:r>
        <w:rPr>
          <w:b/>
          <w:sz w:val="26"/>
        </w:rPr>
        <w:t>ESTADUAL</w:t>
      </w:r>
    </w:p>
    <w:p>
      <w:pPr>
        <w:pStyle w:val="Title"/>
      </w:pPr>
      <w:r>
        <w:rPr/>
        <w:t>PARECER</w:t>
      </w:r>
      <w:r>
        <w:rPr>
          <w:spacing w:val="-6"/>
        </w:rPr>
        <w:t> </w:t>
      </w:r>
      <w:r>
        <w:rPr/>
        <w:t>NORMATIVO</w:t>
      </w:r>
      <w:r>
        <w:rPr>
          <w:spacing w:val="-2"/>
        </w:rPr>
        <w:t> </w:t>
      </w:r>
      <w:r>
        <w:rPr/>
        <w:t>Nº</w:t>
      </w:r>
      <w:r>
        <w:rPr>
          <w:spacing w:val="-3"/>
        </w:rPr>
        <w:t> </w:t>
      </w:r>
      <w:r>
        <w:rPr>
          <w:spacing w:val="-2"/>
        </w:rPr>
        <w:t>003/2005/CRE/SEFIN</w:t>
      </w:r>
    </w:p>
    <w:p>
      <w:pPr>
        <w:spacing w:line="276" w:lineRule="exact" w:before="0"/>
        <w:ind w:left="3" w:right="1" w:firstLine="0"/>
        <w:jc w:val="center"/>
        <w:rPr>
          <w:b/>
          <w:sz w:val="24"/>
        </w:rPr>
      </w:pPr>
      <w:r>
        <w:rPr>
          <w:b/>
          <w:sz w:val="24"/>
        </w:rPr>
        <w:t>PUBLICADO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NO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DOE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Nº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0388,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pacing w:val="-2"/>
          <w:sz w:val="24"/>
        </w:rPr>
        <w:t>08.11.05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Heading1"/>
        <w:jc w:val="both"/>
      </w:pPr>
      <w:r>
        <w:rPr/>
        <w:t>ZONA</w:t>
      </w:r>
      <w:r>
        <w:rPr>
          <w:spacing w:val="14"/>
        </w:rPr>
        <w:t> </w:t>
      </w:r>
      <w:r>
        <w:rPr/>
        <w:t>FRANCA</w:t>
      </w:r>
      <w:r>
        <w:rPr>
          <w:spacing w:val="16"/>
        </w:rPr>
        <w:t> </w:t>
      </w:r>
      <w:r>
        <w:rPr/>
        <w:t>DE</w:t>
      </w:r>
      <w:r>
        <w:rPr>
          <w:spacing w:val="15"/>
        </w:rPr>
        <w:t> </w:t>
      </w:r>
      <w:r>
        <w:rPr/>
        <w:t>MANAUS</w:t>
      </w:r>
      <w:r>
        <w:rPr>
          <w:spacing w:val="17"/>
        </w:rPr>
        <w:t> </w:t>
      </w:r>
      <w:r>
        <w:rPr/>
        <w:t>–</w:t>
      </w:r>
      <w:r>
        <w:rPr>
          <w:spacing w:val="16"/>
        </w:rPr>
        <w:t> </w:t>
      </w:r>
      <w:r>
        <w:rPr/>
        <w:t>CRÉDITO</w:t>
      </w:r>
      <w:r>
        <w:rPr>
          <w:spacing w:val="16"/>
        </w:rPr>
        <w:t> </w:t>
      </w:r>
      <w:r>
        <w:rPr/>
        <w:t>FISCAL</w:t>
      </w:r>
      <w:r>
        <w:rPr>
          <w:spacing w:val="15"/>
        </w:rPr>
        <w:t> </w:t>
      </w:r>
      <w:r>
        <w:rPr/>
        <w:t>–</w:t>
      </w:r>
      <w:r>
        <w:rPr>
          <w:spacing w:val="17"/>
        </w:rPr>
        <w:t> </w:t>
      </w:r>
      <w:r>
        <w:rPr>
          <w:spacing w:val="-4"/>
        </w:rPr>
        <w:t>ITEM</w:t>
      </w:r>
    </w:p>
    <w:p>
      <w:pPr>
        <w:spacing w:before="0"/>
        <w:ind w:left="3944" w:right="117" w:firstLine="0"/>
        <w:jc w:val="both"/>
        <w:rPr>
          <w:sz w:val="24"/>
        </w:rPr>
      </w:pPr>
      <w:r>
        <w:rPr>
          <w:sz w:val="24"/>
        </w:rPr>
        <w:t>68 DA TABELA I DO ANEXO I DO RICMS/RO – INAPLICABILIDADE AOS ESTABELECIMENTOS </w:t>
      </w:r>
      <w:r>
        <w:rPr>
          <w:spacing w:val="-2"/>
          <w:sz w:val="24"/>
        </w:rPr>
        <w:t>COMERCIAIS</w:t>
      </w:r>
    </w:p>
    <w:p>
      <w:pPr>
        <w:pStyle w:val="BodyText"/>
      </w:pPr>
    </w:p>
    <w:p>
      <w:pPr>
        <w:pStyle w:val="BodyText"/>
        <w:spacing w:before="24"/>
      </w:pPr>
    </w:p>
    <w:p>
      <w:pPr>
        <w:pStyle w:val="BodyText"/>
        <w:spacing w:line="261" w:lineRule="auto" w:before="1"/>
        <w:ind w:left="115" w:right="118" w:firstLine="1418"/>
        <w:jc w:val="both"/>
      </w:pPr>
      <w:r>
        <w:rPr/>
        <w:t>A Gerência de Fiscalização – GEFIS apresentou consulta acerca do correto entendimento do contido na Nota 6 do Item 68 da Tabela I do Anexo I do RICMS/RO, especificamente quanto à possibilidade de manutenção do crédito por estabelecimentos comerciais neste Estado.</w:t>
      </w:r>
    </w:p>
    <w:p>
      <w:pPr>
        <w:pStyle w:val="BodyText"/>
        <w:spacing w:line="261" w:lineRule="auto"/>
        <w:ind w:left="115" w:right="122" w:firstLine="1418"/>
        <w:jc w:val="both"/>
      </w:pPr>
      <w:r>
        <w:rPr/>
        <w:t>Devido à relevância do assunto e a fim de se unificar o entendimento, edita-se o presente parecer normativo.</w:t>
      </w:r>
    </w:p>
    <w:p>
      <w:pPr>
        <w:spacing w:line="274" w:lineRule="exact" w:before="0"/>
        <w:ind w:left="1534" w:right="0" w:firstLine="0"/>
        <w:jc w:val="left"/>
        <w:rPr>
          <w:sz w:val="24"/>
        </w:rPr>
      </w:pPr>
      <w:r>
        <w:rPr>
          <w:spacing w:val="-2"/>
          <w:sz w:val="24"/>
          <w:u w:val="single"/>
        </w:rPr>
        <w:t>ANÁLISE:</w:t>
      </w:r>
    </w:p>
    <w:p>
      <w:pPr>
        <w:pStyle w:val="BodyText"/>
        <w:spacing w:line="261" w:lineRule="auto" w:before="21"/>
        <w:ind w:left="115" w:right="122" w:firstLine="1418"/>
        <w:jc w:val="both"/>
      </w:pPr>
      <w:r>
        <w:rPr/>
        <w:t>A Nota 6 do Item 68 da Tabela I do Anexo I do RICMS/RO permite a manutenção de créditos fiscais na origem, desde que o estabelecimento que promova as remessas para as Áreas de Livre comércio seja </w:t>
      </w:r>
      <w:r>
        <w:rPr>
          <w:b/>
        </w:rPr>
        <w:t>estabelecimento industrial</w:t>
      </w:r>
      <w:r>
        <w:rPr/>
        <w:t>, observadas as demais condições previstas.</w:t>
      </w:r>
    </w:p>
    <w:p>
      <w:pPr>
        <w:pStyle w:val="BodyText"/>
        <w:spacing w:line="261" w:lineRule="auto"/>
        <w:ind w:left="115" w:right="124" w:firstLine="1418"/>
        <w:jc w:val="both"/>
      </w:pPr>
      <w:r>
        <w:rPr/>
        <w:t>Conforme dispõe o Inciso II do Artigo 111 do Código Tributário Nacional, interpreta-se literalmente a legislação tributária que disponha sobre outorga de isenção, ou seja, não é possível que o benefício criado tenha a sua abrangência ampliada mediante utilização da integração por analogia ou da interpretação extensiva.</w:t>
      </w:r>
    </w:p>
    <w:p>
      <w:pPr>
        <w:pStyle w:val="BodyText"/>
        <w:spacing w:line="249" w:lineRule="exact"/>
        <w:ind w:left="1250"/>
        <w:jc w:val="both"/>
      </w:pPr>
      <w:r>
        <w:rPr/>
        <w:t>A</w:t>
      </w:r>
      <w:r>
        <w:rPr>
          <w:spacing w:val="13"/>
        </w:rPr>
        <w:t> </w:t>
      </w:r>
      <w:r>
        <w:rPr/>
        <w:t>concessão</w:t>
      </w:r>
      <w:r>
        <w:rPr>
          <w:spacing w:val="16"/>
        </w:rPr>
        <w:t> </w:t>
      </w:r>
      <w:r>
        <w:rPr/>
        <w:t>de</w:t>
      </w:r>
      <w:r>
        <w:rPr>
          <w:spacing w:val="14"/>
        </w:rPr>
        <w:t> </w:t>
      </w:r>
      <w:r>
        <w:rPr/>
        <w:t>isenções,</w:t>
      </w:r>
      <w:r>
        <w:rPr>
          <w:spacing w:val="16"/>
        </w:rPr>
        <w:t> </w:t>
      </w:r>
      <w:r>
        <w:rPr/>
        <w:t>incentivos</w:t>
      </w:r>
      <w:r>
        <w:rPr>
          <w:spacing w:val="17"/>
        </w:rPr>
        <w:t> </w:t>
      </w:r>
      <w:r>
        <w:rPr/>
        <w:t>e</w:t>
      </w:r>
      <w:r>
        <w:rPr>
          <w:spacing w:val="13"/>
        </w:rPr>
        <w:t> </w:t>
      </w:r>
      <w:r>
        <w:rPr/>
        <w:t>benefícios</w:t>
      </w:r>
      <w:r>
        <w:rPr>
          <w:spacing w:val="17"/>
        </w:rPr>
        <w:t> </w:t>
      </w:r>
      <w:r>
        <w:rPr/>
        <w:t>fiscais</w:t>
      </w:r>
      <w:r>
        <w:rPr>
          <w:spacing w:val="16"/>
        </w:rPr>
        <w:t> </w:t>
      </w:r>
      <w:r>
        <w:rPr/>
        <w:t>relacionados</w:t>
      </w:r>
      <w:r>
        <w:rPr>
          <w:spacing w:val="17"/>
        </w:rPr>
        <w:t> </w:t>
      </w:r>
      <w:r>
        <w:rPr/>
        <w:t>ao</w:t>
      </w:r>
      <w:r>
        <w:rPr>
          <w:spacing w:val="15"/>
        </w:rPr>
        <w:t> </w:t>
      </w:r>
      <w:r>
        <w:rPr/>
        <w:t>ICMS</w:t>
      </w:r>
      <w:r>
        <w:rPr>
          <w:spacing w:val="14"/>
        </w:rPr>
        <w:t> </w:t>
      </w:r>
      <w:r>
        <w:rPr/>
        <w:t>devem</w:t>
      </w:r>
      <w:r>
        <w:rPr>
          <w:spacing w:val="15"/>
        </w:rPr>
        <w:t> </w:t>
      </w:r>
      <w:r>
        <w:rPr>
          <w:spacing w:val="-2"/>
        </w:rPr>
        <w:t>estar</w:t>
      </w:r>
    </w:p>
    <w:p>
      <w:pPr>
        <w:pStyle w:val="BodyText"/>
        <w:ind w:left="115" w:right="123"/>
        <w:jc w:val="both"/>
      </w:pPr>
      <w:r>
        <w:rPr/>
        <w:t>amparados por Convênios ou Protocolos celebrados no âmbito do Conselho Nacional de Política Fazendária – CONFAZ, conforme embasamento contido no artigo 155, § 2º, inciso XII, alínea “g”, da Constituição Federal.</w:t>
      </w:r>
    </w:p>
    <w:p>
      <w:pPr>
        <w:pStyle w:val="BodyText"/>
        <w:ind w:left="115" w:right="121" w:firstLine="1134"/>
        <w:jc w:val="both"/>
      </w:pPr>
      <w:r>
        <w:rPr/>
        <w:t>O disposto no artigo 4º do Decreto-Lei 288, de 28/02/1967, não se aplica à concessão de benefícios relacionados ao ICMS, tendo em vista que contraria a atual limitação prevista no inciso III do artigo 151 da Constituição Federal.</w:t>
      </w:r>
    </w:p>
    <w:p>
      <w:pPr>
        <w:spacing w:before="0"/>
        <w:ind w:left="1250" w:right="0" w:firstLine="0"/>
        <w:jc w:val="left"/>
        <w:rPr>
          <w:sz w:val="24"/>
        </w:rPr>
      </w:pPr>
      <w:r>
        <w:rPr>
          <w:spacing w:val="-2"/>
          <w:sz w:val="24"/>
          <w:u w:val="single"/>
        </w:rPr>
        <w:t>CONCLUSÃO:</w:t>
      </w:r>
    </w:p>
    <w:p>
      <w:pPr>
        <w:spacing w:line="261" w:lineRule="auto" w:before="22"/>
        <w:ind w:left="115" w:right="117" w:firstLine="1418"/>
        <w:jc w:val="both"/>
        <w:rPr>
          <w:sz w:val="24"/>
        </w:rPr>
      </w:pPr>
      <w:r>
        <w:rPr>
          <w:sz w:val="24"/>
        </w:rPr>
        <w:t>A manutenção dos créditos na origem, conforme disciplina da Nota 6 do Item 68 da</w:t>
      </w:r>
      <w:r>
        <w:rPr>
          <w:spacing w:val="40"/>
          <w:sz w:val="24"/>
        </w:rPr>
        <w:t> </w:t>
      </w:r>
      <w:r>
        <w:rPr>
          <w:sz w:val="24"/>
        </w:rPr>
        <w:t>Tabela I do Anexo I do RICMS/RO, </w:t>
      </w:r>
      <w:r>
        <w:rPr>
          <w:b/>
          <w:sz w:val="24"/>
        </w:rPr>
        <w:t>não se aplica aos estabelecimentos comerciais</w:t>
      </w:r>
      <w:r>
        <w:rPr>
          <w:sz w:val="24"/>
        </w:rPr>
        <w:t>.</w:t>
      </w:r>
    </w:p>
    <w:p>
      <w:pPr>
        <w:pStyle w:val="BodyText"/>
        <w:spacing w:before="274"/>
        <w:ind w:left="2" w:right="3"/>
        <w:jc w:val="center"/>
      </w:pPr>
      <w:r>
        <w:rPr/>
        <w:t>Porto</w:t>
      </w:r>
      <w:r>
        <w:rPr>
          <w:spacing w:val="-2"/>
        </w:rPr>
        <w:t> </w:t>
      </w:r>
      <w:r>
        <w:rPr/>
        <w:t>Velho,</w:t>
      </w:r>
      <w:r>
        <w:rPr>
          <w:spacing w:val="-1"/>
        </w:rPr>
        <w:t> </w:t>
      </w:r>
      <w:r>
        <w:rPr/>
        <w:t>27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outubro</w:t>
      </w:r>
      <w:r>
        <w:rPr>
          <w:spacing w:val="-1"/>
        </w:rPr>
        <w:t> </w:t>
      </w:r>
      <w:r>
        <w:rPr>
          <w:spacing w:val="-4"/>
        </w:rPr>
        <w:t>2005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spacing w:before="0"/>
        <w:ind w:left="3850" w:right="0" w:firstLine="0"/>
        <w:jc w:val="both"/>
        <w:rPr>
          <w:b/>
          <w:sz w:val="24"/>
        </w:rPr>
      </w:pPr>
      <w:bookmarkStart w:name="CIRO MUNEO FUNADA" w:id="1"/>
      <w:bookmarkEnd w:id="1"/>
      <w:r>
        <w:rPr/>
      </w:r>
      <w:r>
        <w:rPr>
          <w:b/>
          <w:sz w:val="24"/>
        </w:rPr>
        <w:t>CIRO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MUNEO</w:t>
      </w:r>
      <w:r>
        <w:rPr>
          <w:b/>
          <w:spacing w:val="-1"/>
          <w:sz w:val="24"/>
        </w:rPr>
        <w:t> </w:t>
      </w:r>
      <w:r>
        <w:rPr>
          <w:b/>
          <w:spacing w:val="-2"/>
          <w:sz w:val="24"/>
        </w:rPr>
        <w:t>FUNADA</w:t>
      </w:r>
    </w:p>
    <w:p>
      <w:pPr>
        <w:spacing w:before="0"/>
        <w:ind w:left="2" w:right="3" w:firstLine="0"/>
        <w:jc w:val="center"/>
        <w:rPr>
          <w:b/>
          <w:sz w:val="24"/>
        </w:rPr>
      </w:pPr>
      <w:bookmarkStart w:name="Coordenador-Geral da Receita Estadual" w:id="2"/>
      <w:bookmarkEnd w:id="2"/>
      <w:r>
        <w:rPr/>
      </w:r>
      <w:r>
        <w:rPr>
          <w:b/>
          <w:sz w:val="24"/>
        </w:rPr>
        <w:t>Coordenador-Geral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da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Receita</w:t>
      </w:r>
      <w:r>
        <w:rPr>
          <w:b/>
          <w:spacing w:val="-4"/>
          <w:sz w:val="24"/>
        </w:rPr>
        <w:t> </w:t>
      </w:r>
      <w:r>
        <w:rPr>
          <w:b/>
          <w:spacing w:val="-2"/>
          <w:sz w:val="24"/>
        </w:rPr>
        <w:t>Estadual</w:t>
      </w:r>
    </w:p>
    <w:sectPr>
      <w:type w:val="continuous"/>
      <w:pgSz w:w="11900" w:h="16840"/>
      <w:pgMar w:top="740" w:bottom="280" w:left="1020" w:right="5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3944"/>
      <w:outlineLvl w:val="1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232" w:line="322" w:lineRule="exact"/>
      <w:ind w:left="2" w:right="3"/>
      <w:jc w:val="center"/>
    </w:pPr>
    <w:rPr>
      <w:rFonts w:ascii="Times New Roman" w:hAnsi="Times New Roman" w:eastAsia="Times New Roman" w:cs="Times New Roman"/>
      <w:b/>
      <w:bCs/>
      <w:sz w:val="28"/>
      <w:szCs w:val="28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ZONA FRANCA DE MANAUS – CRÉDITO FISCAL – ITEM 68 DA TABELA I DO ANEXO I DO RICMS/RO – INAPLICABILIDADE AOS ESTABELECIMENTOS COMERCIAIS</dc:subject>
  <dc:title>PARECER NORMATIVO Nº 003/2005/CRE/SEFIN</dc:title>
  <dcterms:created xsi:type="dcterms:W3CDTF">2024-08-19T14:30:34Z</dcterms:created>
  <dcterms:modified xsi:type="dcterms:W3CDTF">2024-08-19T14:30:34Z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2008-11-06T00:00:00Z</vt:filetime>
  </property>
  <property fmtid="{D5CDD505-2E9C-101B-9397-08002B2CF9AE}" pid="3" name="Creator">
    <vt:lpwstr>Writer</vt:lpwstr>
  </property>
  <property fmtid="{D5CDD505-2E9C-101B-9397-08002B2CF9AE}" pid="4" name="Producer">
    <vt:lpwstr>BrOffice.org 2.4</vt:lpwstr>
  </property>
  <property fmtid="{D5CDD505-2E9C-101B-9397-08002B2CF9AE}" pid="5" name="LastSaved">
    <vt:filetime>2008-11-06T00:00:00Z</vt:filetime>
  </property>
</Properties>
</file>