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3A8752" w14:textId="14344F76" w:rsidR="00EC5411" w:rsidRDefault="00EC5411" w:rsidP="00EC5411">
      <w:pPr>
        <w:spacing w:after="0" w:line="240" w:lineRule="auto"/>
        <w:rPr>
          <w:rFonts w:cstheme="minorHAnsi"/>
          <w:color w:val="FF0000"/>
          <w:sz w:val="20"/>
          <w:szCs w:val="20"/>
          <w:shd w:val="clear" w:color="auto" w:fill="FFFFFF"/>
        </w:rPr>
      </w:pPr>
      <w:r w:rsidRPr="00EC5411">
        <w:rPr>
          <w:rFonts w:cstheme="minorHAnsi"/>
          <w:color w:val="FF0000"/>
          <w:sz w:val="20"/>
          <w:szCs w:val="20"/>
          <w:shd w:val="clear" w:color="auto" w:fill="FFFFFF"/>
        </w:rPr>
        <w:t>* Este texto não substitui o publicado no DOE.</w:t>
      </w:r>
    </w:p>
    <w:p w14:paraId="35D928FA" w14:textId="77777777" w:rsidR="00EC5411" w:rsidRPr="00EC5411" w:rsidRDefault="00EC5411" w:rsidP="00EC5411">
      <w:pPr>
        <w:spacing w:after="0" w:line="240" w:lineRule="auto"/>
        <w:rPr>
          <w:rFonts w:eastAsia="Times New Roman" w:cstheme="minorHAnsi"/>
          <w:color w:val="000000"/>
          <w:sz w:val="20"/>
          <w:szCs w:val="20"/>
          <w:lang w:eastAsia="pt-BR"/>
        </w:rPr>
      </w:pPr>
    </w:p>
    <w:p w14:paraId="2D63792D" w14:textId="43038CBA" w:rsidR="00EC5411" w:rsidRPr="00EC5411" w:rsidRDefault="00EC5411" w:rsidP="00EC5411">
      <w:pPr>
        <w:spacing w:after="0" w:line="240" w:lineRule="auto"/>
        <w:rPr>
          <w:rFonts w:eastAsia="Times New Roman" w:cstheme="minorHAnsi"/>
          <w:color w:val="000000"/>
          <w:sz w:val="20"/>
          <w:szCs w:val="20"/>
          <w:lang w:eastAsia="pt-BR"/>
        </w:rPr>
      </w:pPr>
      <w:r w:rsidRPr="00EC5411">
        <w:rPr>
          <w:rFonts w:eastAsia="Times New Roman" w:cstheme="minorHAnsi"/>
          <w:color w:val="000000"/>
          <w:sz w:val="20"/>
          <w:szCs w:val="20"/>
          <w:lang w:eastAsia="pt-BR"/>
        </w:rPr>
        <w:t>Diário Oficial do Estado de Rondônia nº 10</w:t>
      </w:r>
      <w:r w:rsidRPr="00EC5411">
        <w:rPr>
          <w:rFonts w:eastAsia="Times New Roman" w:cstheme="minorHAnsi"/>
          <w:color w:val="000000"/>
          <w:sz w:val="20"/>
          <w:szCs w:val="20"/>
          <w:lang w:eastAsia="pt-BR"/>
        </w:rPr>
        <w:br/>
        <w:t>Disponibilização: 16/01/2023</w:t>
      </w:r>
      <w:r w:rsidRPr="00EC5411">
        <w:rPr>
          <w:rFonts w:eastAsia="Times New Roman" w:cstheme="minorHAnsi"/>
          <w:color w:val="000000"/>
          <w:sz w:val="20"/>
          <w:szCs w:val="20"/>
          <w:lang w:eastAsia="pt-BR"/>
        </w:rPr>
        <w:br/>
        <w:t>Publicação: 16/01/2023</w:t>
      </w:r>
    </w:p>
    <w:p w14:paraId="309C455E" w14:textId="52279F93"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62C0A652" w14:textId="64594566" w:rsidR="00EC5411" w:rsidRDefault="00EC5411" w:rsidP="00EC5411">
      <w:pPr>
        <w:spacing w:after="0" w:line="240" w:lineRule="auto"/>
        <w:jc w:val="center"/>
        <w:rPr>
          <w:rFonts w:eastAsia="Times New Roman" w:cstheme="minorHAnsi"/>
          <w:color w:val="000000"/>
          <w:sz w:val="24"/>
          <w:szCs w:val="24"/>
          <w:lang w:eastAsia="pt-BR"/>
        </w:rPr>
      </w:pPr>
      <w:r>
        <w:rPr>
          <w:rFonts w:eastAsia="Times New Roman" w:cstheme="minorHAnsi"/>
          <w:noProof/>
          <w:color w:val="000000"/>
          <w:sz w:val="24"/>
          <w:szCs w:val="24"/>
          <w:lang w:eastAsia="pt-BR"/>
        </w:rPr>
        <w:drawing>
          <wp:inline distT="0" distB="0" distL="0" distR="0" wp14:anchorId="1579D0F7" wp14:editId="52478124">
            <wp:extent cx="1467123" cy="1126541"/>
            <wp:effectExtent l="0" t="0" r="0" b="0"/>
            <wp:docPr id="3" name="Imagem 3" descr="Imagem digital fictícia de personagem de desenho animad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Imagem digital fictícia de personagem de desenho animado&#10;&#10;Descrição gerada automaticamente com confiança baixa"/>
                    <pic:cNvPicPr/>
                  </pic:nvPicPr>
                  <pic:blipFill>
                    <a:blip r:embed="rId4">
                      <a:extLst>
                        <a:ext uri="{28A0092B-C50C-407E-A947-70E740481C1C}">
                          <a14:useLocalDpi xmlns:a14="http://schemas.microsoft.com/office/drawing/2010/main" val="0"/>
                        </a:ext>
                      </a:extLst>
                    </a:blip>
                    <a:stretch>
                      <a:fillRect/>
                    </a:stretch>
                  </pic:blipFill>
                  <pic:spPr>
                    <a:xfrm>
                      <a:off x="0" y="0"/>
                      <a:ext cx="1476139" cy="1133464"/>
                    </a:xfrm>
                    <a:prstGeom prst="rect">
                      <a:avLst/>
                    </a:prstGeom>
                  </pic:spPr>
                </pic:pic>
              </a:graphicData>
            </a:graphic>
          </wp:inline>
        </w:drawing>
      </w:r>
    </w:p>
    <w:p w14:paraId="4FC84C65" w14:textId="77777777" w:rsidR="00EC5411" w:rsidRDefault="00EC5411" w:rsidP="00EC5411">
      <w:pPr>
        <w:spacing w:after="0" w:line="240" w:lineRule="auto"/>
        <w:jc w:val="center"/>
        <w:rPr>
          <w:rFonts w:eastAsia="Times New Roman" w:cstheme="minorHAnsi"/>
          <w:color w:val="000000"/>
          <w:sz w:val="24"/>
          <w:szCs w:val="24"/>
          <w:lang w:eastAsia="pt-BR"/>
        </w:rPr>
      </w:pPr>
    </w:p>
    <w:p w14:paraId="761DE470" w14:textId="6705C0C1"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GOVERNO DO ESTADO DE RONDÔNIA</w:t>
      </w:r>
    </w:p>
    <w:p w14:paraId="73D18CDA"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Secretaria de Estado de Finanças - SEFIN</w:t>
      </w:r>
    </w:p>
    <w:p w14:paraId="49158440"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Instrução Normativa nº 84/2022/SEFIN/GAB/CRE</w:t>
      </w:r>
    </w:p>
    <w:p w14:paraId="597F6B3B" w14:textId="77777777" w:rsidR="00EC5411" w:rsidRPr="00EC5411" w:rsidRDefault="00EC5411" w:rsidP="00EC5411">
      <w:pPr>
        <w:spacing w:before="120" w:after="120" w:line="240" w:lineRule="auto"/>
        <w:ind w:left="120" w:righ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841AA6D" w14:textId="77777777" w:rsidR="00EC5411" w:rsidRPr="00EC5411" w:rsidRDefault="00EC5411" w:rsidP="00EC5411">
      <w:pPr>
        <w:spacing w:before="120" w:after="120" w:line="240" w:lineRule="auto"/>
        <w:ind w:left="2694" w:right="120"/>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Altera a Instrução Normativa nº 005/2020/GAB/CRE, de 7 de fevereiro de 2020, que institui o Manual Técnico de Soluções de Tecnologia da Informação produzidas no âmbito da Coordenadoria da Receita Estadual - CRE.</w:t>
      </w:r>
    </w:p>
    <w:p w14:paraId="5A33D1F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110ADDA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O COORDENADOR-GERAL DA RECEITA ESTADUAL,</w:t>
      </w:r>
      <w:r w:rsidRPr="00EC5411">
        <w:rPr>
          <w:rFonts w:eastAsia="Times New Roman" w:cstheme="minorHAnsi"/>
          <w:color w:val="000000"/>
          <w:sz w:val="24"/>
          <w:szCs w:val="24"/>
          <w:lang w:eastAsia="pt-BR"/>
        </w:rPr>
        <w:t> no uso de suas atribuições legais;</w:t>
      </w:r>
    </w:p>
    <w:p w14:paraId="68E713B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3ECDDA1"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b/>
          <w:bCs/>
          <w:color w:val="000000"/>
          <w:sz w:val="24"/>
          <w:szCs w:val="24"/>
          <w:u w:val="single"/>
          <w:lang w:eastAsia="pt-BR"/>
        </w:rPr>
        <w:t>D</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E</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T</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E</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R</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M</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I</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N</w:t>
      </w:r>
      <w:r w:rsidRPr="00EC5411">
        <w:rPr>
          <w:rFonts w:eastAsia="Times New Roman" w:cstheme="minorHAnsi"/>
          <w:b/>
          <w:bCs/>
          <w:color w:val="000000"/>
          <w:sz w:val="24"/>
          <w:szCs w:val="24"/>
          <w:lang w:eastAsia="pt-BR"/>
        </w:rPr>
        <w:t> </w:t>
      </w:r>
      <w:r w:rsidRPr="00EC5411">
        <w:rPr>
          <w:rFonts w:eastAsia="Times New Roman" w:cstheme="minorHAnsi"/>
          <w:b/>
          <w:bCs/>
          <w:color w:val="000000"/>
          <w:sz w:val="24"/>
          <w:szCs w:val="24"/>
          <w:u w:val="single"/>
          <w:lang w:eastAsia="pt-BR"/>
        </w:rPr>
        <w:t>A</w:t>
      </w:r>
    </w:p>
    <w:p w14:paraId="30FF2429"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71AF4FD"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Art. 1º O "Manual Técnico de Soluções de Tecnologia da Informação", constante no Anexo Único da Instrução Normativa nº 005/2020/GAB/CRE, passa a vigorar conforme o Anexo Único desta Instrução Normativa.</w:t>
      </w:r>
    </w:p>
    <w:p w14:paraId="70355B4F"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9FCD7E4"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Art. 2º Esta Instrução Normativa entra em vigor na data da publicação.</w:t>
      </w:r>
    </w:p>
    <w:p w14:paraId="03F318C7"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200A40B1" w14:textId="77777777" w:rsidR="00EC5411" w:rsidRPr="00EC5411" w:rsidRDefault="00EC5411" w:rsidP="00EC5411">
      <w:pPr>
        <w:spacing w:after="0" w:line="240" w:lineRule="auto"/>
        <w:ind w:left="120" w:firstLine="1418"/>
        <w:rPr>
          <w:rFonts w:eastAsia="Times New Roman" w:cstheme="minorHAnsi"/>
          <w:color w:val="000000"/>
          <w:sz w:val="24"/>
          <w:szCs w:val="24"/>
          <w:lang w:eastAsia="pt-BR"/>
        </w:rPr>
      </w:pPr>
      <w:r w:rsidRPr="00EC5411">
        <w:rPr>
          <w:rFonts w:eastAsia="Times New Roman" w:cstheme="minorHAnsi"/>
          <w:color w:val="000000"/>
          <w:sz w:val="24"/>
          <w:szCs w:val="24"/>
          <w:lang w:eastAsia="pt-BR"/>
        </w:rPr>
        <w:t>Porto Velho, 30 de dezembro de 2022.</w:t>
      </w:r>
    </w:p>
    <w:p w14:paraId="44609B3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92E9F4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1CA1905C"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ANTONIO CARLOS ALENCAR DO NASCIMENTO</w:t>
      </w:r>
    </w:p>
    <w:p w14:paraId="7D2BCEEB"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Coordenador-Geral da Receita Estadual</w:t>
      </w:r>
    </w:p>
    <w:p w14:paraId="14AE01BD"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72856694"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2BD4171" w14:textId="77777777" w:rsidR="00EC5411" w:rsidRPr="00EC5411" w:rsidRDefault="00EC5411" w:rsidP="00EC5411">
      <w:pPr>
        <w:spacing w:after="150" w:line="240" w:lineRule="auto"/>
        <w:rPr>
          <w:rFonts w:eastAsia="Times New Roman" w:cstheme="minorHAnsi"/>
          <w:b/>
          <w:bCs/>
          <w:caps/>
          <w:color w:val="000000"/>
          <w:sz w:val="24"/>
          <w:szCs w:val="24"/>
          <w:lang w:eastAsia="pt-BR"/>
        </w:rPr>
      </w:pPr>
      <w:r w:rsidRPr="00EC5411">
        <w:rPr>
          <w:rFonts w:eastAsia="Times New Roman" w:cstheme="minorHAnsi"/>
          <w:b/>
          <w:bCs/>
          <w:caps/>
          <w:color w:val="000000"/>
          <w:sz w:val="24"/>
          <w:szCs w:val="24"/>
          <w:lang w:eastAsia="pt-BR"/>
        </w:rPr>
        <w:t> </w:t>
      </w:r>
    </w:p>
    <w:p w14:paraId="31844153" w14:textId="77777777" w:rsidR="00EC5411" w:rsidRPr="00EC5411" w:rsidRDefault="00EC5411" w:rsidP="00EC5411">
      <w:pPr>
        <w:spacing w:before="100" w:beforeAutospacing="1" w:after="100" w:afterAutospacing="1" w:line="240" w:lineRule="auto"/>
        <w:jc w:val="center"/>
        <w:rPr>
          <w:rFonts w:eastAsia="Times New Roman" w:cstheme="minorHAnsi"/>
          <w:b/>
          <w:bCs/>
          <w:caps/>
          <w:color w:val="000000"/>
          <w:sz w:val="24"/>
          <w:szCs w:val="24"/>
          <w:lang w:eastAsia="pt-BR"/>
        </w:rPr>
      </w:pPr>
      <w:r w:rsidRPr="00EC5411">
        <w:rPr>
          <w:rFonts w:eastAsia="Times New Roman" w:cstheme="minorHAnsi"/>
          <w:b/>
          <w:bCs/>
          <w:caps/>
          <w:color w:val="000000"/>
          <w:sz w:val="24"/>
          <w:szCs w:val="24"/>
          <w:lang w:eastAsia="pt-BR"/>
        </w:rPr>
        <w:t> </w:t>
      </w:r>
    </w:p>
    <w:p w14:paraId="39CAEC9D" w14:textId="77777777" w:rsidR="00EC5411" w:rsidRPr="00EC5411" w:rsidRDefault="00EC5411" w:rsidP="00EC5411">
      <w:pPr>
        <w:spacing w:before="100" w:beforeAutospacing="1" w:after="100" w:afterAutospacing="1" w:line="240" w:lineRule="auto"/>
        <w:jc w:val="center"/>
        <w:rPr>
          <w:rFonts w:eastAsia="Times New Roman" w:cstheme="minorHAnsi"/>
          <w:b/>
          <w:bCs/>
          <w:caps/>
          <w:color w:val="000000"/>
          <w:sz w:val="24"/>
          <w:szCs w:val="24"/>
          <w:lang w:eastAsia="pt-BR"/>
        </w:rPr>
      </w:pPr>
      <w:r w:rsidRPr="00EC5411">
        <w:rPr>
          <w:rFonts w:eastAsia="Times New Roman" w:cstheme="minorHAnsi"/>
          <w:b/>
          <w:bCs/>
          <w:caps/>
          <w:color w:val="000000"/>
          <w:sz w:val="24"/>
          <w:szCs w:val="24"/>
          <w:lang w:eastAsia="pt-BR"/>
        </w:rPr>
        <w:t> </w:t>
      </w:r>
    </w:p>
    <w:p w14:paraId="2242EE67" w14:textId="77777777" w:rsidR="00EC5411" w:rsidRPr="00EC5411" w:rsidRDefault="00EC5411" w:rsidP="00EC5411">
      <w:pPr>
        <w:spacing w:before="100" w:beforeAutospacing="1" w:after="100" w:afterAutospacing="1" w:line="240" w:lineRule="auto"/>
        <w:jc w:val="center"/>
        <w:rPr>
          <w:rFonts w:eastAsia="Times New Roman" w:cstheme="minorHAnsi"/>
          <w:b/>
          <w:bCs/>
          <w:caps/>
          <w:color w:val="000000"/>
          <w:sz w:val="24"/>
          <w:szCs w:val="24"/>
          <w:lang w:eastAsia="pt-BR"/>
        </w:rPr>
      </w:pPr>
      <w:r w:rsidRPr="00EC5411">
        <w:rPr>
          <w:rFonts w:eastAsia="Times New Roman" w:cstheme="minorHAnsi"/>
          <w:b/>
          <w:bCs/>
          <w:caps/>
          <w:color w:val="000000"/>
          <w:sz w:val="24"/>
          <w:szCs w:val="24"/>
          <w:lang w:eastAsia="pt-BR"/>
        </w:rPr>
        <w:lastRenderedPageBreak/>
        <w:t>ANEXO ÚNICO</w:t>
      </w:r>
    </w:p>
    <w:p w14:paraId="7CC0AA33" w14:textId="77777777" w:rsidR="00EC5411" w:rsidRPr="00EC5411" w:rsidRDefault="00EC5411" w:rsidP="00EC5411">
      <w:pPr>
        <w:spacing w:before="100" w:beforeAutospacing="1" w:after="100" w:afterAutospacing="1" w:line="240" w:lineRule="auto"/>
        <w:jc w:val="center"/>
        <w:rPr>
          <w:rFonts w:eastAsia="Times New Roman" w:cstheme="minorHAnsi"/>
          <w:b/>
          <w:bCs/>
          <w:caps/>
          <w:color w:val="000000"/>
          <w:sz w:val="24"/>
          <w:szCs w:val="24"/>
          <w:lang w:eastAsia="pt-BR"/>
        </w:rPr>
      </w:pPr>
      <w:r w:rsidRPr="00EC5411">
        <w:rPr>
          <w:rFonts w:eastAsia="Times New Roman" w:cstheme="minorHAnsi"/>
          <w:b/>
          <w:bCs/>
          <w:caps/>
          <w:color w:val="000000"/>
          <w:sz w:val="24"/>
          <w:szCs w:val="24"/>
          <w:lang w:eastAsia="pt-BR"/>
        </w:rPr>
        <w:t>MANUAL TÉCNICO DE SOLUÇÕES TECNOLÓGICAS DA CRE</w:t>
      </w:r>
    </w:p>
    <w:p w14:paraId="064E5CFE" w14:textId="77777777" w:rsidR="00EC5411" w:rsidRPr="00EC5411" w:rsidRDefault="00EC5411" w:rsidP="00EC5411">
      <w:pPr>
        <w:spacing w:before="100" w:beforeAutospacing="1" w:after="100" w:afterAutospacing="1" w:line="240" w:lineRule="auto"/>
        <w:jc w:val="center"/>
        <w:rPr>
          <w:rFonts w:eastAsia="Times New Roman" w:cstheme="minorHAnsi"/>
          <w:b/>
          <w:bCs/>
          <w:caps/>
          <w:color w:val="000000"/>
          <w:sz w:val="24"/>
          <w:szCs w:val="24"/>
          <w:lang w:eastAsia="pt-BR"/>
        </w:rPr>
      </w:pPr>
      <w:r w:rsidRPr="00EC5411">
        <w:rPr>
          <w:rFonts w:eastAsia="Times New Roman" w:cstheme="minorHAnsi"/>
          <w:b/>
          <w:bCs/>
          <w:caps/>
          <w:color w:val="000000"/>
          <w:sz w:val="24"/>
          <w:szCs w:val="24"/>
          <w:lang w:eastAsia="pt-BR"/>
        </w:rPr>
        <w:t>COORDENADORIA DA RECEITA ESTADUAL</w:t>
      </w:r>
    </w:p>
    <w:p w14:paraId="0752367F" w14:textId="77777777" w:rsidR="00EC5411" w:rsidRPr="00EC5411" w:rsidRDefault="00EC5411" w:rsidP="00EC5411">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342A5CAD" w14:textId="53B8BDAE" w:rsidR="00EC5411" w:rsidRPr="00EC5411" w:rsidRDefault="00EC5411" w:rsidP="005047E2">
      <w:pPr>
        <w:spacing w:after="0" w:line="240" w:lineRule="auto"/>
        <w:ind w:left="120" w:firstLine="1418"/>
        <w:jc w:val="both"/>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6375" w:type="dxa"/>
        <w:tblCellMar>
          <w:top w:w="15" w:type="dxa"/>
          <w:left w:w="15" w:type="dxa"/>
          <w:bottom w:w="15" w:type="dxa"/>
          <w:right w:w="15" w:type="dxa"/>
        </w:tblCellMar>
        <w:tblLook w:val="04A0" w:firstRow="1" w:lastRow="0" w:firstColumn="1" w:lastColumn="0" w:noHBand="0" w:noVBand="1"/>
      </w:tblPr>
      <w:tblGrid>
        <w:gridCol w:w="945"/>
        <w:gridCol w:w="4528"/>
        <w:gridCol w:w="960"/>
      </w:tblGrid>
      <w:tr w:rsidR="00EC5411" w:rsidRPr="00EC5411" w14:paraId="5A8DFA9A" w14:textId="77777777" w:rsidTr="00EC5411">
        <w:trPr>
          <w:trHeight w:val="300"/>
        </w:trPr>
        <w:tc>
          <w:tcPr>
            <w:tcW w:w="945" w:type="dxa"/>
            <w:tcBorders>
              <w:top w:val="nil"/>
              <w:left w:val="nil"/>
              <w:bottom w:val="nil"/>
              <w:right w:val="nil"/>
            </w:tcBorders>
            <w:noWrap/>
            <w:vAlign w:val="center"/>
            <w:hideMark/>
          </w:tcPr>
          <w:p w14:paraId="5832218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b/>
                <w:bCs/>
                <w:color w:val="1F3864"/>
                <w:sz w:val="24"/>
                <w:szCs w:val="24"/>
                <w:u w:val="single"/>
                <w:lang w:eastAsia="pt-BR"/>
              </w:rPr>
              <w:t>Sumário</w:t>
            </w:r>
          </w:p>
        </w:tc>
        <w:tc>
          <w:tcPr>
            <w:tcW w:w="4470" w:type="dxa"/>
            <w:tcBorders>
              <w:top w:val="nil"/>
              <w:left w:val="nil"/>
              <w:bottom w:val="nil"/>
              <w:right w:val="nil"/>
            </w:tcBorders>
            <w:noWrap/>
            <w:vAlign w:val="bottom"/>
            <w:hideMark/>
          </w:tcPr>
          <w:p w14:paraId="163D193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sz w:val="24"/>
                <w:szCs w:val="24"/>
                <w:lang w:eastAsia="pt-BR"/>
              </w:rPr>
              <w:t> </w:t>
            </w:r>
          </w:p>
        </w:tc>
        <w:tc>
          <w:tcPr>
            <w:tcW w:w="960" w:type="dxa"/>
            <w:tcBorders>
              <w:top w:val="nil"/>
              <w:left w:val="nil"/>
              <w:bottom w:val="nil"/>
              <w:right w:val="nil"/>
            </w:tcBorders>
            <w:noWrap/>
            <w:vAlign w:val="bottom"/>
            <w:hideMark/>
          </w:tcPr>
          <w:p w14:paraId="40FD901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sz w:val="24"/>
                <w:szCs w:val="24"/>
                <w:lang w:eastAsia="pt-BR"/>
              </w:rPr>
              <w:t> </w:t>
            </w:r>
          </w:p>
        </w:tc>
      </w:tr>
      <w:tr w:rsidR="00EC5411" w:rsidRPr="00EC5411" w14:paraId="76ACF673" w14:textId="77777777" w:rsidTr="00EC5411">
        <w:trPr>
          <w:trHeight w:val="300"/>
        </w:trPr>
        <w:tc>
          <w:tcPr>
            <w:tcW w:w="0" w:type="auto"/>
            <w:tcBorders>
              <w:top w:val="nil"/>
              <w:left w:val="nil"/>
              <w:bottom w:val="nil"/>
              <w:right w:val="nil"/>
            </w:tcBorders>
            <w:noWrap/>
            <w:vAlign w:val="center"/>
            <w:hideMark/>
          </w:tcPr>
          <w:p w14:paraId="13D3D8E3"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sz w:val="24"/>
                <w:szCs w:val="24"/>
                <w:lang w:eastAsia="pt-BR"/>
              </w:rPr>
              <w:t> </w:t>
            </w:r>
          </w:p>
        </w:tc>
        <w:tc>
          <w:tcPr>
            <w:tcW w:w="0" w:type="auto"/>
            <w:tcBorders>
              <w:top w:val="nil"/>
              <w:left w:val="nil"/>
              <w:bottom w:val="nil"/>
              <w:right w:val="nil"/>
            </w:tcBorders>
            <w:noWrap/>
            <w:vAlign w:val="bottom"/>
            <w:hideMark/>
          </w:tcPr>
          <w:p w14:paraId="4134485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sz w:val="24"/>
                <w:szCs w:val="24"/>
                <w:lang w:eastAsia="pt-BR"/>
              </w:rPr>
              <w:t> </w:t>
            </w:r>
          </w:p>
        </w:tc>
        <w:tc>
          <w:tcPr>
            <w:tcW w:w="0" w:type="auto"/>
            <w:tcBorders>
              <w:top w:val="nil"/>
              <w:left w:val="nil"/>
              <w:bottom w:val="nil"/>
              <w:right w:val="nil"/>
            </w:tcBorders>
            <w:noWrap/>
            <w:vAlign w:val="bottom"/>
            <w:hideMark/>
          </w:tcPr>
          <w:p w14:paraId="0DC91811"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sz w:val="24"/>
                <w:szCs w:val="24"/>
                <w:lang w:eastAsia="pt-BR"/>
              </w:rPr>
              <w:t> </w:t>
            </w:r>
          </w:p>
        </w:tc>
      </w:tr>
      <w:tr w:rsidR="00EC5411" w:rsidRPr="00EC5411" w14:paraId="7E0E0CE9" w14:textId="77777777" w:rsidTr="00EC5411">
        <w:trPr>
          <w:trHeight w:val="300"/>
        </w:trPr>
        <w:tc>
          <w:tcPr>
            <w:tcW w:w="0" w:type="auto"/>
            <w:tcBorders>
              <w:top w:val="nil"/>
              <w:left w:val="nil"/>
              <w:bottom w:val="nil"/>
              <w:right w:val="nil"/>
            </w:tcBorders>
            <w:noWrap/>
            <w:vAlign w:val="center"/>
            <w:hideMark/>
          </w:tcPr>
          <w:p w14:paraId="64779568"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w:t>
            </w:r>
          </w:p>
        </w:tc>
        <w:tc>
          <w:tcPr>
            <w:tcW w:w="0" w:type="auto"/>
            <w:tcBorders>
              <w:top w:val="nil"/>
              <w:left w:val="nil"/>
              <w:bottom w:val="nil"/>
              <w:right w:val="nil"/>
            </w:tcBorders>
            <w:noWrap/>
            <w:vAlign w:val="center"/>
            <w:hideMark/>
          </w:tcPr>
          <w:p w14:paraId="5AABABE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Cartão Cidade</w:t>
            </w:r>
          </w:p>
        </w:tc>
        <w:tc>
          <w:tcPr>
            <w:tcW w:w="0" w:type="auto"/>
            <w:tcBorders>
              <w:top w:val="nil"/>
              <w:left w:val="nil"/>
              <w:bottom w:val="nil"/>
              <w:right w:val="nil"/>
            </w:tcBorders>
            <w:noWrap/>
            <w:vAlign w:val="center"/>
            <w:hideMark/>
          </w:tcPr>
          <w:p w14:paraId="06EE465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3</w:t>
            </w:r>
          </w:p>
        </w:tc>
      </w:tr>
      <w:tr w:rsidR="00EC5411" w:rsidRPr="00EC5411" w14:paraId="44346FDE" w14:textId="77777777" w:rsidTr="00EC5411">
        <w:trPr>
          <w:trHeight w:val="300"/>
        </w:trPr>
        <w:tc>
          <w:tcPr>
            <w:tcW w:w="0" w:type="auto"/>
            <w:tcBorders>
              <w:top w:val="nil"/>
              <w:left w:val="nil"/>
              <w:bottom w:val="nil"/>
              <w:right w:val="nil"/>
            </w:tcBorders>
            <w:noWrap/>
            <w:vAlign w:val="center"/>
            <w:hideMark/>
          </w:tcPr>
          <w:p w14:paraId="7C12508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w:t>
            </w:r>
          </w:p>
        </w:tc>
        <w:tc>
          <w:tcPr>
            <w:tcW w:w="0" w:type="auto"/>
            <w:tcBorders>
              <w:top w:val="nil"/>
              <w:left w:val="nil"/>
              <w:bottom w:val="nil"/>
              <w:right w:val="nil"/>
            </w:tcBorders>
            <w:noWrap/>
            <w:vAlign w:val="center"/>
            <w:hideMark/>
          </w:tcPr>
          <w:p w14:paraId="65A793D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Estoque da Dívida</w:t>
            </w:r>
          </w:p>
        </w:tc>
        <w:tc>
          <w:tcPr>
            <w:tcW w:w="0" w:type="auto"/>
            <w:tcBorders>
              <w:top w:val="nil"/>
              <w:left w:val="nil"/>
              <w:bottom w:val="nil"/>
              <w:right w:val="nil"/>
            </w:tcBorders>
            <w:noWrap/>
            <w:vAlign w:val="center"/>
            <w:hideMark/>
          </w:tcPr>
          <w:p w14:paraId="68DEBE3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4</w:t>
            </w:r>
          </w:p>
        </w:tc>
      </w:tr>
      <w:tr w:rsidR="00EC5411" w:rsidRPr="00EC5411" w14:paraId="74195A31" w14:textId="77777777" w:rsidTr="00EC5411">
        <w:trPr>
          <w:trHeight w:val="300"/>
        </w:trPr>
        <w:tc>
          <w:tcPr>
            <w:tcW w:w="0" w:type="auto"/>
            <w:tcBorders>
              <w:top w:val="nil"/>
              <w:left w:val="nil"/>
              <w:bottom w:val="nil"/>
              <w:right w:val="nil"/>
            </w:tcBorders>
            <w:noWrap/>
            <w:vAlign w:val="center"/>
            <w:hideMark/>
          </w:tcPr>
          <w:p w14:paraId="2AB4655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3)</w:t>
            </w:r>
          </w:p>
        </w:tc>
        <w:tc>
          <w:tcPr>
            <w:tcW w:w="0" w:type="auto"/>
            <w:tcBorders>
              <w:top w:val="nil"/>
              <w:left w:val="nil"/>
              <w:bottom w:val="nil"/>
              <w:right w:val="nil"/>
            </w:tcBorders>
            <w:noWrap/>
            <w:vAlign w:val="center"/>
            <w:hideMark/>
          </w:tcPr>
          <w:p w14:paraId="65A0EF08"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Solução BI da Oracle</w:t>
            </w:r>
          </w:p>
        </w:tc>
        <w:tc>
          <w:tcPr>
            <w:tcW w:w="0" w:type="auto"/>
            <w:tcBorders>
              <w:top w:val="nil"/>
              <w:left w:val="nil"/>
              <w:bottom w:val="nil"/>
              <w:right w:val="nil"/>
            </w:tcBorders>
            <w:noWrap/>
            <w:vAlign w:val="center"/>
            <w:hideMark/>
          </w:tcPr>
          <w:p w14:paraId="69FEEEB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5</w:t>
            </w:r>
          </w:p>
        </w:tc>
      </w:tr>
      <w:tr w:rsidR="00EC5411" w:rsidRPr="00EC5411" w14:paraId="3B9E0C02" w14:textId="77777777" w:rsidTr="00EC5411">
        <w:trPr>
          <w:trHeight w:val="300"/>
        </w:trPr>
        <w:tc>
          <w:tcPr>
            <w:tcW w:w="0" w:type="auto"/>
            <w:tcBorders>
              <w:top w:val="nil"/>
              <w:left w:val="nil"/>
              <w:bottom w:val="nil"/>
              <w:right w:val="nil"/>
            </w:tcBorders>
            <w:noWrap/>
            <w:vAlign w:val="center"/>
            <w:hideMark/>
          </w:tcPr>
          <w:p w14:paraId="0BA5F6F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a)</w:t>
            </w:r>
          </w:p>
        </w:tc>
        <w:tc>
          <w:tcPr>
            <w:tcW w:w="0" w:type="auto"/>
            <w:tcBorders>
              <w:top w:val="nil"/>
              <w:left w:val="nil"/>
              <w:bottom w:val="nil"/>
              <w:right w:val="nil"/>
            </w:tcBorders>
            <w:noWrap/>
            <w:vAlign w:val="center"/>
            <w:hideMark/>
          </w:tcPr>
          <w:p w14:paraId="79007AF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Acompanhamento da CONSIT</w:t>
            </w:r>
            <w:r w:rsidRPr="00EC5411">
              <w:rPr>
                <w:rFonts w:eastAsia="Times New Roman" w:cstheme="minorHAnsi"/>
                <w:color w:val="000000"/>
                <w:sz w:val="24"/>
                <w:szCs w:val="24"/>
                <w:vertAlign w:val="superscript"/>
                <w:lang w:eastAsia="pt-BR"/>
              </w:rPr>
              <w:t>4</w:t>
            </w:r>
          </w:p>
        </w:tc>
        <w:tc>
          <w:tcPr>
            <w:tcW w:w="0" w:type="auto"/>
            <w:tcBorders>
              <w:top w:val="nil"/>
              <w:left w:val="nil"/>
              <w:bottom w:val="nil"/>
              <w:right w:val="nil"/>
            </w:tcBorders>
            <w:noWrap/>
            <w:vAlign w:val="center"/>
            <w:hideMark/>
          </w:tcPr>
          <w:p w14:paraId="2279F44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5</w:t>
            </w:r>
          </w:p>
        </w:tc>
      </w:tr>
      <w:tr w:rsidR="00EC5411" w:rsidRPr="00EC5411" w14:paraId="36AC7C2D" w14:textId="77777777" w:rsidTr="00EC5411">
        <w:trPr>
          <w:trHeight w:val="300"/>
        </w:trPr>
        <w:tc>
          <w:tcPr>
            <w:tcW w:w="0" w:type="auto"/>
            <w:tcBorders>
              <w:top w:val="nil"/>
              <w:left w:val="nil"/>
              <w:bottom w:val="nil"/>
              <w:right w:val="nil"/>
            </w:tcBorders>
            <w:noWrap/>
            <w:vAlign w:val="center"/>
            <w:hideMark/>
          </w:tcPr>
          <w:p w14:paraId="393F80F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b)</w:t>
            </w:r>
          </w:p>
        </w:tc>
        <w:tc>
          <w:tcPr>
            <w:tcW w:w="0" w:type="auto"/>
            <w:tcBorders>
              <w:top w:val="nil"/>
              <w:left w:val="nil"/>
              <w:bottom w:val="nil"/>
              <w:right w:val="nil"/>
            </w:tcBorders>
            <w:noWrap/>
            <w:vAlign w:val="center"/>
            <w:hideMark/>
          </w:tcPr>
          <w:p w14:paraId="5444691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Detalhamento de Guia de Arrecadação</w:t>
            </w:r>
          </w:p>
        </w:tc>
        <w:tc>
          <w:tcPr>
            <w:tcW w:w="0" w:type="auto"/>
            <w:tcBorders>
              <w:top w:val="nil"/>
              <w:left w:val="nil"/>
              <w:bottom w:val="nil"/>
              <w:right w:val="nil"/>
            </w:tcBorders>
            <w:noWrap/>
            <w:vAlign w:val="center"/>
            <w:hideMark/>
          </w:tcPr>
          <w:p w14:paraId="5F7F6E0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7</w:t>
            </w:r>
          </w:p>
        </w:tc>
      </w:tr>
      <w:tr w:rsidR="00EC5411" w:rsidRPr="00EC5411" w14:paraId="7EA772E9" w14:textId="77777777" w:rsidTr="00EC5411">
        <w:trPr>
          <w:trHeight w:val="300"/>
        </w:trPr>
        <w:tc>
          <w:tcPr>
            <w:tcW w:w="0" w:type="auto"/>
            <w:tcBorders>
              <w:top w:val="nil"/>
              <w:left w:val="nil"/>
              <w:bottom w:val="nil"/>
              <w:right w:val="nil"/>
            </w:tcBorders>
            <w:noWrap/>
            <w:vAlign w:val="center"/>
            <w:hideMark/>
          </w:tcPr>
          <w:p w14:paraId="1224935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c)</w:t>
            </w:r>
          </w:p>
        </w:tc>
        <w:tc>
          <w:tcPr>
            <w:tcW w:w="0" w:type="auto"/>
            <w:tcBorders>
              <w:top w:val="nil"/>
              <w:left w:val="nil"/>
              <w:bottom w:val="nil"/>
              <w:right w:val="nil"/>
            </w:tcBorders>
            <w:noWrap/>
            <w:vAlign w:val="center"/>
            <w:hideMark/>
          </w:tcPr>
          <w:p w14:paraId="2034D43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GEAR</w:t>
            </w:r>
            <w:r w:rsidRPr="00EC5411">
              <w:rPr>
                <w:rFonts w:eastAsia="Times New Roman" w:cstheme="minorHAnsi"/>
                <w:color w:val="000000"/>
                <w:sz w:val="24"/>
                <w:szCs w:val="24"/>
                <w:vertAlign w:val="superscript"/>
                <w:lang w:eastAsia="pt-BR"/>
              </w:rPr>
              <w:t>6</w:t>
            </w:r>
            <w:r w:rsidRPr="00EC5411">
              <w:rPr>
                <w:rFonts w:eastAsia="Times New Roman" w:cstheme="minorHAnsi"/>
                <w:color w:val="000000"/>
                <w:sz w:val="24"/>
                <w:szCs w:val="24"/>
                <w:lang w:eastAsia="pt-BR"/>
              </w:rPr>
              <w:t> Contribuintes</w:t>
            </w:r>
          </w:p>
        </w:tc>
        <w:tc>
          <w:tcPr>
            <w:tcW w:w="0" w:type="auto"/>
            <w:tcBorders>
              <w:top w:val="nil"/>
              <w:left w:val="nil"/>
              <w:bottom w:val="nil"/>
              <w:right w:val="nil"/>
            </w:tcBorders>
            <w:noWrap/>
            <w:vAlign w:val="center"/>
            <w:hideMark/>
          </w:tcPr>
          <w:p w14:paraId="25BDD52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7</w:t>
            </w:r>
          </w:p>
        </w:tc>
      </w:tr>
      <w:tr w:rsidR="00EC5411" w:rsidRPr="00EC5411" w14:paraId="51652D4C" w14:textId="77777777" w:rsidTr="00EC5411">
        <w:trPr>
          <w:trHeight w:val="300"/>
        </w:trPr>
        <w:tc>
          <w:tcPr>
            <w:tcW w:w="0" w:type="auto"/>
            <w:tcBorders>
              <w:top w:val="nil"/>
              <w:left w:val="nil"/>
              <w:bottom w:val="nil"/>
              <w:right w:val="nil"/>
            </w:tcBorders>
            <w:noWrap/>
            <w:vAlign w:val="center"/>
            <w:hideMark/>
          </w:tcPr>
          <w:p w14:paraId="78F05FD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d)</w:t>
            </w:r>
          </w:p>
        </w:tc>
        <w:tc>
          <w:tcPr>
            <w:tcW w:w="0" w:type="auto"/>
            <w:tcBorders>
              <w:top w:val="nil"/>
              <w:left w:val="nil"/>
              <w:bottom w:val="nil"/>
              <w:right w:val="nil"/>
            </w:tcBorders>
            <w:noWrap/>
            <w:vAlign w:val="center"/>
            <w:hideMark/>
          </w:tcPr>
          <w:p w14:paraId="389A67A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Inadimplentes Por Fundos</w:t>
            </w:r>
          </w:p>
        </w:tc>
        <w:tc>
          <w:tcPr>
            <w:tcW w:w="0" w:type="auto"/>
            <w:tcBorders>
              <w:top w:val="nil"/>
              <w:left w:val="nil"/>
              <w:bottom w:val="nil"/>
              <w:right w:val="nil"/>
            </w:tcBorders>
            <w:noWrap/>
            <w:vAlign w:val="center"/>
            <w:hideMark/>
          </w:tcPr>
          <w:p w14:paraId="1686EE0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7</w:t>
            </w:r>
          </w:p>
        </w:tc>
      </w:tr>
      <w:tr w:rsidR="00EC5411" w:rsidRPr="00EC5411" w14:paraId="75E6291D" w14:textId="77777777" w:rsidTr="00EC5411">
        <w:trPr>
          <w:trHeight w:val="300"/>
        </w:trPr>
        <w:tc>
          <w:tcPr>
            <w:tcW w:w="0" w:type="auto"/>
            <w:tcBorders>
              <w:top w:val="nil"/>
              <w:left w:val="nil"/>
              <w:bottom w:val="nil"/>
              <w:right w:val="nil"/>
            </w:tcBorders>
            <w:noWrap/>
            <w:vAlign w:val="center"/>
            <w:hideMark/>
          </w:tcPr>
          <w:p w14:paraId="3187986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e)</w:t>
            </w:r>
          </w:p>
        </w:tc>
        <w:tc>
          <w:tcPr>
            <w:tcW w:w="0" w:type="auto"/>
            <w:tcBorders>
              <w:top w:val="nil"/>
              <w:left w:val="nil"/>
              <w:bottom w:val="nil"/>
              <w:right w:val="nil"/>
            </w:tcBorders>
            <w:noWrap/>
            <w:vAlign w:val="center"/>
            <w:hideMark/>
          </w:tcPr>
          <w:p w14:paraId="39EE481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Metas Arrecadação</w:t>
            </w:r>
          </w:p>
        </w:tc>
        <w:tc>
          <w:tcPr>
            <w:tcW w:w="0" w:type="auto"/>
            <w:tcBorders>
              <w:top w:val="nil"/>
              <w:left w:val="nil"/>
              <w:bottom w:val="nil"/>
              <w:right w:val="nil"/>
            </w:tcBorders>
            <w:noWrap/>
            <w:vAlign w:val="center"/>
            <w:hideMark/>
          </w:tcPr>
          <w:p w14:paraId="0550555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7</w:t>
            </w:r>
          </w:p>
        </w:tc>
      </w:tr>
      <w:tr w:rsidR="00EC5411" w:rsidRPr="00EC5411" w14:paraId="73DAFBBA" w14:textId="77777777" w:rsidTr="00EC5411">
        <w:trPr>
          <w:trHeight w:val="300"/>
        </w:trPr>
        <w:tc>
          <w:tcPr>
            <w:tcW w:w="0" w:type="auto"/>
            <w:tcBorders>
              <w:top w:val="nil"/>
              <w:left w:val="nil"/>
              <w:bottom w:val="nil"/>
              <w:right w:val="nil"/>
            </w:tcBorders>
            <w:noWrap/>
            <w:vAlign w:val="center"/>
            <w:hideMark/>
          </w:tcPr>
          <w:p w14:paraId="19C4472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f)</w:t>
            </w:r>
          </w:p>
        </w:tc>
        <w:tc>
          <w:tcPr>
            <w:tcW w:w="0" w:type="auto"/>
            <w:tcBorders>
              <w:top w:val="nil"/>
              <w:left w:val="nil"/>
              <w:bottom w:val="nil"/>
              <w:right w:val="nil"/>
            </w:tcBorders>
            <w:noWrap/>
            <w:vAlign w:val="center"/>
            <w:hideMark/>
          </w:tcPr>
          <w:p w14:paraId="19EB7D1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Ações Fiscais e Autos de Infração</w:t>
            </w:r>
          </w:p>
        </w:tc>
        <w:tc>
          <w:tcPr>
            <w:tcW w:w="0" w:type="auto"/>
            <w:tcBorders>
              <w:top w:val="nil"/>
              <w:left w:val="nil"/>
              <w:bottom w:val="nil"/>
              <w:right w:val="nil"/>
            </w:tcBorders>
            <w:noWrap/>
            <w:vAlign w:val="center"/>
            <w:hideMark/>
          </w:tcPr>
          <w:p w14:paraId="7A2B8D5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7</w:t>
            </w:r>
          </w:p>
        </w:tc>
      </w:tr>
      <w:tr w:rsidR="00EC5411" w:rsidRPr="00EC5411" w14:paraId="07F5279F" w14:textId="77777777" w:rsidTr="00EC5411">
        <w:trPr>
          <w:trHeight w:val="300"/>
        </w:trPr>
        <w:tc>
          <w:tcPr>
            <w:tcW w:w="0" w:type="auto"/>
            <w:tcBorders>
              <w:top w:val="nil"/>
              <w:left w:val="nil"/>
              <w:bottom w:val="nil"/>
              <w:right w:val="nil"/>
            </w:tcBorders>
            <w:noWrap/>
            <w:vAlign w:val="center"/>
            <w:hideMark/>
          </w:tcPr>
          <w:p w14:paraId="32F811C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g)</w:t>
            </w:r>
          </w:p>
        </w:tc>
        <w:tc>
          <w:tcPr>
            <w:tcW w:w="0" w:type="auto"/>
            <w:tcBorders>
              <w:top w:val="nil"/>
              <w:left w:val="nil"/>
              <w:bottom w:val="nil"/>
              <w:right w:val="nil"/>
            </w:tcBorders>
            <w:noWrap/>
            <w:vAlign w:val="center"/>
            <w:hideMark/>
          </w:tcPr>
          <w:p w14:paraId="71CE8E8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Delegacias</w:t>
            </w:r>
          </w:p>
        </w:tc>
        <w:tc>
          <w:tcPr>
            <w:tcW w:w="0" w:type="auto"/>
            <w:tcBorders>
              <w:top w:val="nil"/>
              <w:left w:val="nil"/>
              <w:bottom w:val="nil"/>
              <w:right w:val="nil"/>
            </w:tcBorders>
            <w:noWrap/>
            <w:vAlign w:val="center"/>
            <w:hideMark/>
          </w:tcPr>
          <w:p w14:paraId="1C3DBFD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8</w:t>
            </w:r>
          </w:p>
        </w:tc>
      </w:tr>
      <w:tr w:rsidR="00EC5411" w:rsidRPr="00EC5411" w14:paraId="70A1F176" w14:textId="77777777" w:rsidTr="00EC5411">
        <w:trPr>
          <w:trHeight w:val="300"/>
        </w:trPr>
        <w:tc>
          <w:tcPr>
            <w:tcW w:w="0" w:type="auto"/>
            <w:tcBorders>
              <w:top w:val="nil"/>
              <w:left w:val="nil"/>
              <w:bottom w:val="nil"/>
              <w:right w:val="nil"/>
            </w:tcBorders>
            <w:noWrap/>
            <w:vAlign w:val="center"/>
            <w:hideMark/>
          </w:tcPr>
          <w:p w14:paraId="62FDBF0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h)</w:t>
            </w:r>
          </w:p>
        </w:tc>
        <w:tc>
          <w:tcPr>
            <w:tcW w:w="0" w:type="auto"/>
            <w:tcBorders>
              <w:top w:val="nil"/>
              <w:left w:val="nil"/>
              <w:bottom w:val="nil"/>
              <w:right w:val="nil"/>
            </w:tcBorders>
            <w:noWrap/>
            <w:vAlign w:val="center"/>
            <w:hideMark/>
          </w:tcPr>
          <w:p w14:paraId="3B9729B8"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do Simples Nacional</w:t>
            </w:r>
          </w:p>
        </w:tc>
        <w:tc>
          <w:tcPr>
            <w:tcW w:w="0" w:type="auto"/>
            <w:tcBorders>
              <w:top w:val="nil"/>
              <w:left w:val="nil"/>
              <w:bottom w:val="nil"/>
              <w:right w:val="nil"/>
            </w:tcBorders>
            <w:noWrap/>
            <w:vAlign w:val="center"/>
            <w:hideMark/>
          </w:tcPr>
          <w:p w14:paraId="31284313"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9</w:t>
            </w:r>
          </w:p>
        </w:tc>
      </w:tr>
      <w:tr w:rsidR="00EC5411" w:rsidRPr="00EC5411" w14:paraId="2645F50B" w14:textId="77777777" w:rsidTr="00EC5411">
        <w:trPr>
          <w:trHeight w:val="300"/>
        </w:trPr>
        <w:tc>
          <w:tcPr>
            <w:tcW w:w="0" w:type="auto"/>
            <w:tcBorders>
              <w:top w:val="nil"/>
              <w:left w:val="nil"/>
              <w:bottom w:val="nil"/>
              <w:right w:val="nil"/>
            </w:tcBorders>
            <w:noWrap/>
            <w:vAlign w:val="center"/>
            <w:hideMark/>
          </w:tcPr>
          <w:p w14:paraId="0FB9399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i)</w:t>
            </w:r>
          </w:p>
        </w:tc>
        <w:tc>
          <w:tcPr>
            <w:tcW w:w="0" w:type="auto"/>
            <w:tcBorders>
              <w:top w:val="nil"/>
              <w:left w:val="nil"/>
              <w:bottom w:val="nil"/>
              <w:right w:val="nil"/>
            </w:tcBorders>
            <w:noWrap/>
            <w:vAlign w:val="center"/>
            <w:hideMark/>
          </w:tcPr>
          <w:p w14:paraId="4FE374A1"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GEAR</w:t>
            </w:r>
          </w:p>
        </w:tc>
        <w:tc>
          <w:tcPr>
            <w:tcW w:w="0" w:type="auto"/>
            <w:tcBorders>
              <w:top w:val="nil"/>
              <w:left w:val="nil"/>
              <w:bottom w:val="nil"/>
              <w:right w:val="nil"/>
            </w:tcBorders>
            <w:noWrap/>
            <w:vAlign w:val="center"/>
            <w:hideMark/>
          </w:tcPr>
          <w:p w14:paraId="63FE1A5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9</w:t>
            </w:r>
          </w:p>
        </w:tc>
      </w:tr>
      <w:tr w:rsidR="00EC5411" w:rsidRPr="00EC5411" w14:paraId="01CFDEBC" w14:textId="77777777" w:rsidTr="00EC5411">
        <w:trPr>
          <w:trHeight w:val="300"/>
        </w:trPr>
        <w:tc>
          <w:tcPr>
            <w:tcW w:w="0" w:type="auto"/>
            <w:tcBorders>
              <w:top w:val="nil"/>
              <w:left w:val="nil"/>
              <w:bottom w:val="nil"/>
              <w:right w:val="nil"/>
            </w:tcBorders>
            <w:noWrap/>
            <w:vAlign w:val="center"/>
            <w:hideMark/>
          </w:tcPr>
          <w:p w14:paraId="64D6749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j)</w:t>
            </w:r>
          </w:p>
        </w:tc>
        <w:tc>
          <w:tcPr>
            <w:tcW w:w="0" w:type="auto"/>
            <w:tcBorders>
              <w:top w:val="nil"/>
              <w:left w:val="nil"/>
              <w:bottom w:val="nil"/>
              <w:right w:val="nil"/>
            </w:tcBorders>
            <w:noWrap/>
            <w:vAlign w:val="center"/>
            <w:hideMark/>
          </w:tcPr>
          <w:p w14:paraId="1244D87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Notificação</w:t>
            </w:r>
          </w:p>
        </w:tc>
        <w:tc>
          <w:tcPr>
            <w:tcW w:w="0" w:type="auto"/>
            <w:tcBorders>
              <w:top w:val="nil"/>
              <w:left w:val="nil"/>
              <w:bottom w:val="nil"/>
              <w:right w:val="nil"/>
            </w:tcBorders>
            <w:noWrap/>
            <w:vAlign w:val="center"/>
            <w:hideMark/>
          </w:tcPr>
          <w:p w14:paraId="763246B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10</w:t>
            </w:r>
          </w:p>
        </w:tc>
      </w:tr>
      <w:tr w:rsidR="00EC5411" w:rsidRPr="00EC5411" w14:paraId="3E0E76FF" w14:textId="77777777" w:rsidTr="00EC5411">
        <w:trPr>
          <w:trHeight w:val="300"/>
        </w:trPr>
        <w:tc>
          <w:tcPr>
            <w:tcW w:w="0" w:type="auto"/>
            <w:tcBorders>
              <w:top w:val="nil"/>
              <w:left w:val="nil"/>
              <w:bottom w:val="nil"/>
              <w:right w:val="nil"/>
            </w:tcBorders>
            <w:noWrap/>
            <w:vAlign w:val="center"/>
            <w:hideMark/>
          </w:tcPr>
          <w:p w14:paraId="1EA0765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k)</w:t>
            </w:r>
          </w:p>
        </w:tc>
        <w:tc>
          <w:tcPr>
            <w:tcW w:w="0" w:type="auto"/>
            <w:tcBorders>
              <w:top w:val="nil"/>
              <w:left w:val="nil"/>
              <w:bottom w:val="nil"/>
              <w:right w:val="nil"/>
            </w:tcBorders>
            <w:noWrap/>
            <w:vAlign w:val="center"/>
            <w:hideMark/>
          </w:tcPr>
          <w:p w14:paraId="0CE8A94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Substituição Tributária</w:t>
            </w:r>
          </w:p>
        </w:tc>
        <w:tc>
          <w:tcPr>
            <w:tcW w:w="0" w:type="auto"/>
            <w:tcBorders>
              <w:top w:val="nil"/>
              <w:left w:val="nil"/>
              <w:bottom w:val="nil"/>
              <w:right w:val="nil"/>
            </w:tcBorders>
            <w:noWrap/>
            <w:vAlign w:val="center"/>
            <w:hideMark/>
          </w:tcPr>
          <w:p w14:paraId="54B1A4D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10</w:t>
            </w:r>
          </w:p>
        </w:tc>
      </w:tr>
      <w:tr w:rsidR="00EC5411" w:rsidRPr="00EC5411" w14:paraId="6B6856EA" w14:textId="77777777" w:rsidTr="00EC5411">
        <w:trPr>
          <w:trHeight w:val="300"/>
        </w:trPr>
        <w:tc>
          <w:tcPr>
            <w:tcW w:w="0" w:type="auto"/>
            <w:tcBorders>
              <w:top w:val="nil"/>
              <w:left w:val="nil"/>
              <w:bottom w:val="nil"/>
              <w:right w:val="nil"/>
            </w:tcBorders>
            <w:noWrap/>
            <w:vAlign w:val="center"/>
            <w:hideMark/>
          </w:tcPr>
          <w:p w14:paraId="4BF7DDC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l)</w:t>
            </w:r>
          </w:p>
        </w:tc>
        <w:tc>
          <w:tcPr>
            <w:tcW w:w="0" w:type="auto"/>
            <w:tcBorders>
              <w:top w:val="nil"/>
              <w:left w:val="nil"/>
              <w:bottom w:val="nil"/>
              <w:right w:val="nil"/>
            </w:tcBorders>
            <w:noWrap/>
            <w:vAlign w:val="center"/>
            <w:hideMark/>
          </w:tcPr>
          <w:p w14:paraId="7F038CD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Visão Contribuintes</w:t>
            </w:r>
          </w:p>
        </w:tc>
        <w:tc>
          <w:tcPr>
            <w:tcW w:w="0" w:type="auto"/>
            <w:tcBorders>
              <w:top w:val="nil"/>
              <w:left w:val="nil"/>
              <w:bottom w:val="nil"/>
              <w:right w:val="nil"/>
            </w:tcBorders>
            <w:noWrap/>
            <w:vAlign w:val="center"/>
            <w:hideMark/>
          </w:tcPr>
          <w:p w14:paraId="463E9F0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11</w:t>
            </w:r>
          </w:p>
        </w:tc>
      </w:tr>
      <w:tr w:rsidR="00EC5411" w:rsidRPr="00EC5411" w14:paraId="66054414" w14:textId="77777777" w:rsidTr="00EC5411">
        <w:trPr>
          <w:trHeight w:val="300"/>
        </w:trPr>
        <w:tc>
          <w:tcPr>
            <w:tcW w:w="0" w:type="auto"/>
            <w:tcBorders>
              <w:top w:val="nil"/>
              <w:left w:val="nil"/>
              <w:bottom w:val="nil"/>
              <w:right w:val="nil"/>
            </w:tcBorders>
            <w:noWrap/>
            <w:vAlign w:val="center"/>
            <w:hideMark/>
          </w:tcPr>
          <w:p w14:paraId="1CDB3AC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m)</w:t>
            </w:r>
          </w:p>
        </w:tc>
        <w:tc>
          <w:tcPr>
            <w:tcW w:w="0" w:type="auto"/>
            <w:tcBorders>
              <w:top w:val="nil"/>
              <w:left w:val="nil"/>
              <w:bottom w:val="nil"/>
              <w:right w:val="nil"/>
            </w:tcBorders>
            <w:noWrap/>
            <w:vAlign w:val="center"/>
            <w:hideMark/>
          </w:tcPr>
          <w:p w14:paraId="2169DFB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Visão por Raiz do CNPJ</w:t>
            </w:r>
          </w:p>
        </w:tc>
        <w:tc>
          <w:tcPr>
            <w:tcW w:w="0" w:type="auto"/>
            <w:tcBorders>
              <w:top w:val="nil"/>
              <w:left w:val="nil"/>
              <w:bottom w:val="nil"/>
              <w:right w:val="nil"/>
            </w:tcBorders>
            <w:noWrap/>
            <w:vAlign w:val="center"/>
            <w:hideMark/>
          </w:tcPr>
          <w:p w14:paraId="75B96FD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12</w:t>
            </w:r>
          </w:p>
        </w:tc>
      </w:tr>
      <w:tr w:rsidR="00EC5411" w:rsidRPr="00EC5411" w14:paraId="141DBF58" w14:textId="77777777" w:rsidTr="00EC5411">
        <w:trPr>
          <w:trHeight w:val="300"/>
        </w:trPr>
        <w:tc>
          <w:tcPr>
            <w:tcW w:w="0" w:type="auto"/>
            <w:tcBorders>
              <w:top w:val="nil"/>
              <w:left w:val="nil"/>
              <w:bottom w:val="nil"/>
              <w:right w:val="nil"/>
            </w:tcBorders>
            <w:noWrap/>
            <w:vAlign w:val="center"/>
            <w:hideMark/>
          </w:tcPr>
          <w:p w14:paraId="7311A88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n)</w:t>
            </w:r>
          </w:p>
        </w:tc>
        <w:tc>
          <w:tcPr>
            <w:tcW w:w="0" w:type="auto"/>
            <w:tcBorders>
              <w:top w:val="nil"/>
              <w:left w:val="nil"/>
              <w:bottom w:val="nil"/>
              <w:right w:val="nil"/>
            </w:tcBorders>
            <w:noWrap/>
            <w:vAlign w:val="center"/>
            <w:hideMark/>
          </w:tcPr>
          <w:p w14:paraId="077B272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Renúncia Tributária</w:t>
            </w:r>
          </w:p>
        </w:tc>
        <w:tc>
          <w:tcPr>
            <w:tcW w:w="0" w:type="auto"/>
            <w:tcBorders>
              <w:top w:val="nil"/>
              <w:left w:val="nil"/>
              <w:bottom w:val="nil"/>
              <w:right w:val="nil"/>
            </w:tcBorders>
            <w:noWrap/>
            <w:vAlign w:val="center"/>
            <w:hideMark/>
          </w:tcPr>
          <w:p w14:paraId="1A99AA0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13</w:t>
            </w:r>
          </w:p>
        </w:tc>
      </w:tr>
      <w:tr w:rsidR="00EC5411" w:rsidRPr="00EC5411" w14:paraId="65D54F79" w14:textId="77777777" w:rsidTr="00EC5411">
        <w:trPr>
          <w:trHeight w:val="300"/>
        </w:trPr>
        <w:tc>
          <w:tcPr>
            <w:tcW w:w="0" w:type="auto"/>
            <w:tcBorders>
              <w:top w:val="nil"/>
              <w:left w:val="nil"/>
              <w:bottom w:val="nil"/>
              <w:right w:val="nil"/>
            </w:tcBorders>
            <w:noWrap/>
            <w:vAlign w:val="center"/>
            <w:hideMark/>
          </w:tcPr>
          <w:p w14:paraId="544247C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o)</w:t>
            </w:r>
          </w:p>
        </w:tc>
        <w:tc>
          <w:tcPr>
            <w:tcW w:w="0" w:type="auto"/>
            <w:tcBorders>
              <w:top w:val="nil"/>
              <w:left w:val="nil"/>
              <w:bottom w:val="nil"/>
              <w:right w:val="nil"/>
            </w:tcBorders>
            <w:noWrap/>
            <w:vAlign w:val="center"/>
            <w:hideMark/>
          </w:tcPr>
          <w:p w14:paraId="0DC912C3"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VAF</w:t>
            </w:r>
            <w:r w:rsidRPr="00EC5411">
              <w:rPr>
                <w:rFonts w:eastAsia="Times New Roman" w:cstheme="minorHAnsi"/>
                <w:color w:val="000000"/>
                <w:sz w:val="24"/>
                <w:szCs w:val="24"/>
                <w:vertAlign w:val="superscript"/>
                <w:lang w:eastAsia="pt-BR"/>
              </w:rPr>
              <w:t>20</w:t>
            </w:r>
            <w:r w:rsidRPr="00EC5411">
              <w:rPr>
                <w:rFonts w:eastAsia="Times New Roman" w:cstheme="minorHAnsi"/>
                <w:color w:val="000000"/>
                <w:sz w:val="24"/>
                <w:szCs w:val="24"/>
                <w:lang w:eastAsia="pt-BR"/>
              </w:rPr>
              <w:t> Comercial</w:t>
            </w:r>
          </w:p>
        </w:tc>
        <w:tc>
          <w:tcPr>
            <w:tcW w:w="0" w:type="auto"/>
            <w:tcBorders>
              <w:top w:val="nil"/>
              <w:left w:val="nil"/>
              <w:bottom w:val="nil"/>
              <w:right w:val="nil"/>
            </w:tcBorders>
            <w:noWrap/>
            <w:vAlign w:val="center"/>
            <w:hideMark/>
          </w:tcPr>
          <w:p w14:paraId="75E1786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13</w:t>
            </w:r>
          </w:p>
        </w:tc>
      </w:tr>
      <w:tr w:rsidR="00EC5411" w:rsidRPr="00EC5411" w14:paraId="7FCFEBDA" w14:textId="77777777" w:rsidTr="00EC5411">
        <w:trPr>
          <w:trHeight w:val="300"/>
        </w:trPr>
        <w:tc>
          <w:tcPr>
            <w:tcW w:w="0" w:type="auto"/>
            <w:tcBorders>
              <w:top w:val="nil"/>
              <w:left w:val="nil"/>
              <w:bottom w:val="nil"/>
              <w:right w:val="nil"/>
            </w:tcBorders>
            <w:noWrap/>
            <w:vAlign w:val="center"/>
            <w:hideMark/>
          </w:tcPr>
          <w:p w14:paraId="4356D48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w:t>
            </w:r>
          </w:p>
        </w:tc>
        <w:tc>
          <w:tcPr>
            <w:tcW w:w="0" w:type="auto"/>
            <w:tcBorders>
              <w:top w:val="nil"/>
              <w:left w:val="nil"/>
              <w:bottom w:val="nil"/>
              <w:right w:val="nil"/>
            </w:tcBorders>
            <w:noWrap/>
            <w:vAlign w:val="center"/>
            <w:hideMark/>
          </w:tcPr>
          <w:p w14:paraId="7525589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Visão Pessoa</w:t>
            </w:r>
          </w:p>
        </w:tc>
        <w:tc>
          <w:tcPr>
            <w:tcW w:w="0" w:type="auto"/>
            <w:tcBorders>
              <w:top w:val="nil"/>
              <w:left w:val="nil"/>
              <w:bottom w:val="nil"/>
              <w:right w:val="nil"/>
            </w:tcBorders>
            <w:noWrap/>
            <w:vAlign w:val="center"/>
            <w:hideMark/>
          </w:tcPr>
          <w:p w14:paraId="34C4DFF1"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13</w:t>
            </w:r>
          </w:p>
        </w:tc>
      </w:tr>
      <w:tr w:rsidR="00EC5411" w:rsidRPr="00EC5411" w14:paraId="7F7AC0E6" w14:textId="77777777" w:rsidTr="00EC5411">
        <w:trPr>
          <w:trHeight w:val="300"/>
        </w:trPr>
        <w:tc>
          <w:tcPr>
            <w:tcW w:w="0" w:type="auto"/>
            <w:tcBorders>
              <w:top w:val="nil"/>
              <w:left w:val="nil"/>
              <w:bottom w:val="nil"/>
              <w:right w:val="nil"/>
            </w:tcBorders>
            <w:noWrap/>
            <w:vAlign w:val="center"/>
            <w:hideMark/>
          </w:tcPr>
          <w:p w14:paraId="6697F91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q)</w:t>
            </w:r>
          </w:p>
        </w:tc>
        <w:tc>
          <w:tcPr>
            <w:tcW w:w="0" w:type="auto"/>
            <w:tcBorders>
              <w:top w:val="nil"/>
              <w:left w:val="nil"/>
              <w:bottom w:val="nil"/>
              <w:right w:val="nil"/>
            </w:tcBorders>
            <w:noWrap/>
            <w:vAlign w:val="center"/>
            <w:hideMark/>
          </w:tcPr>
          <w:p w14:paraId="6F3BBA9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Monitoramento CONSIT (Interno)</w:t>
            </w:r>
          </w:p>
        </w:tc>
        <w:tc>
          <w:tcPr>
            <w:tcW w:w="0" w:type="auto"/>
            <w:tcBorders>
              <w:top w:val="nil"/>
              <w:left w:val="nil"/>
              <w:bottom w:val="nil"/>
              <w:right w:val="nil"/>
            </w:tcBorders>
            <w:noWrap/>
            <w:vAlign w:val="center"/>
            <w:hideMark/>
          </w:tcPr>
          <w:p w14:paraId="6172783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14</w:t>
            </w:r>
          </w:p>
        </w:tc>
      </w:tr>
      <w:tr w:rsidR="00EC5411" w:rsidRPr="00EC5411" w14:paraId="6747FB34" w14:textId="77777777" w:rsidTr="00EC5411">
        <w:trPr>
          <w:trHeight w:val="300"/>
        </w:trPr>
        <w:tc>
          <w:tcPr>
            <w:tcW w:w="0" w:type="auto"/>
            <w:tcBorders>
              <w:top w:val="nil"/>
              <w:left w:val="nil"/>
              <w:bottom w:val="nil"/>
              <w:right w:val="nil"/>
            </w:tcBorders>
            <w:noWrap/>
            <w:vAlign w:val="center"/>
            <w:hideMark/>
          </w:tcPr>
          <w:p w14:paraId="23473F7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r)</w:t>
            </w:r>
          </w:p>
        </w:tc>
        <w:tc>
          <w:tcPr>
            <w:tcW w:w="0" w:type="auto"/>
            <w:tcBorders>
              <w:top w:val="nil"/>
              <w:left w:val="nil"/>
              <w:bottom w:val="nil"/>
              <w:right w:val="nil"/>
            </w:tcBorders>
            <w:noWrap/>
            <w:vAlign w:val="center"/>
            <w:hideMark/>
          </w:tcPr>
          <w:p w14:paraId="7F5AF1F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Comércio Exterior</w:t>
            </w:r>
          </w:p>
        </w:tc>
        <w:tc>
          <w:tcPr>
            <w:tcW w:w="0" w:type="auto"/>
            <w:tcBorders>
              <w:top w:val="nil"/>
              <w:left w:val="nil"/>
              <w:bottom w:val="nil"/>
              <w:right w:val="nil"/>
            </w:tcBorders>
            <w:noWrap/>
            <w:vAlign w:val="center"/>
            <w:hideMark/>
          </w:tcPr>
          <w:p w14:paraId="5F01E8A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14</w:t>
            </w:r>
          </w:p>
        </w:tc>
      </w:tr>
      <w:tr w:rsidR="00EC5411" w:rsidRPr="00EC5411" w14:paraId="62B66072" w14:textId="77777777" w:rsidTr="00EC5411">
        <w:trPr>
          <w:trHeight w:val="300"/>
        </w:trPr>
        <w:tc>
          <w:tcPr>
            <w:tcW w:w="0" w:type="auto"/>
            <w:tcBorders>
              <w:top w:val="nil"/>
              <w:left w:val="nil"/>
              <w:bottom w:val="nil"/>
              <w:right w:val="nil"/>
            </w:tcBorders>
            <w:noWrap/>
            <w:vAlign w:val="center"/>
            <w:hideMark/>
          </w:tcPr>
          <w:p w14:paraId="4F7CE93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w:t>
            </w:r>
          </w:p>
        </w:tc>
        <w:tc>
          <w:tcPr>
            <w:tcW w:w="0" w:type="auto"/>
            <w:tcBorders>
              <w:top w:val="nil"/>
              <w:left w:val="nil"/>
              <w:bottom w:val="nil"/>
              <w:right w:val="nil"/>
            </w:tcBorders>
            <w:noWrap/>
            <w:vAlign w:val="center"/>
            <w:hideMark/>
          </w:tcPr>
          <w:p w14:paraId="060C797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Contribuintes - Convênio 164/2019</w:t>
            </w:r>
          </w:p>
        </w:tc>
        <w:tc>
          <w:tcPr>
            <w:tcW w:w="0" w:type="auto"/>
            <w:tcBorders>
              <w:top w:val="nil"/>
              <w:left w:val="nil"/>
              <w:bottom w:val="nil"/>
              <w:right w:val="nil"/>
            </w:tcBorders>
            <w:noWrap/>
            <w:vAlign w:val="center"/>
            <w:hideMark/>
          </w:tcPr>
          <w:p w14:paraId="279D905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14</w:t>
            </w:r>
          </w:p>
        </w:tc>
      </w:tr>
      <w:tr w:rsidR="00EC5411" w:rsidRPr="00EC5411" w14:paraId="5B971DAD" w14:textId="77777777" w:rsidTr="00EC5411">
        <w:trPr>
          <w:trHeight w:val="300"/>
        </w:trPr>
        <w:tc>
          <w:tcPr>
            <w:tcW w:w="0" w:type="auto"/>
            <w:tcBorders>
              <w:top w:val="nil"/>
              <w:left w:val="nil"/>
              <w:bottom w:val="nil"/>
              <w:right w:val="nil"/>
            </w:tcBorders>
            <w:noWrap/>
            <w:vAlign w:val="center"/>
            <w:hideMark/>
          </w:tcPr>
          <w:p w14:paraId="099EDA4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t)</w:t>
            </w:r>
          </w:p>
        </w:tc>
        <w:tc>
          <w:tcPr>
            <w:tcW w:w="0" w:type="auto"/>
            <w:tcBorders>
              <w:top w:val="nil"/>
              <w:left w:val="nil"/>
              <w:bottom w:val="nil"/>
              <w:right w:val="nil"/>
            </w:tcBorders>
            <w:noWrap/>
            <w:vAlign w:val="center"/>
            <w:hideMark/>
          </w:tcPr>
          <w:p w14:paraId="2E284F4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Painel Arrecadação</w:t>
            </w:r>
          </w:p>
        </w:tc>
        <w:tc>
          <w:tcPr>
            <w:tcW w:w="0" w:type="auto"/>
            <w:tcBorders>
              <w:top w:val="nil"/>
              <w:left w:val="nil"/>
              <w:bottom w:val="nil"/>
              <w:right w:val="nil"/>
            </w:tcBorders>
            <w:noWrap/>
            <w:vAlign w:val="center"/>
            <w:hideMark/>
          </w:tcPr>
          <w:p w14:paraId="5B7611D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14</w:t>
            </w:r>
          </w:p>
        </w:tc>
      </w:tr>
      <w:tr w:rsidR="00EC5411" w:rsidRPr="00EC5411" w14:paraId="496C886F" w14:textId="77777777" w:rsidTr="00EC5411">
        <w:trPr>
          <w:trHeight w:val="300"/>
        </w:trPr>
        <w:tc>
          <w:tcPr>
            <w:tcW w:w="0" w:type="auto"/>
            <w:tcBorders>
              <w:top w:val="nil"/>
              <w:left w:val="nil"/>
              <w:bottom w:val="nil"/>
              <w:right w:val="nil"/>
            </w:tcBorders>
            <w:noWrap/>
            <w:vAlign w:val="center"/>
            <w:hideMark/>
          </w:tcPr>
          <w:p w14:paraId="4F5A550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4)</w:t>
            </w:r>
          </w:p>
        </w:tc>
        <w:tc>
          <w:tcPr>
            <w:tcW w:w="0" w:type="auto"/>
            <w:tcBorders>
              <w:top w:val="nil"/>
              <w:left w:val="nil"/>
              <w:bottom w:val="nil"/>
              <w:right w:val="nil"/>
            </w:tcBorders>
            <w:noWrap/>
            <w:vAlign w:val="center"/>
            <w:hideMark/>
          </w:tcPr>
          <w:p w14:paraId="577BFB6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Solução da CONSIT</w:t>
            </w:r>
          </w:p>
        </w:tc>
        <w:tc>
          <w:tcPr>
            <w:tcW w:w="0" w:type="auto"/>
            <w:tcBorders>
              <w:top w:val="nil"/>
              <w:left w:val="nil"/>
              <w:bottom w:val="nil"/>
              <w:right w:val="nil"/>
            </w:tcBorders>
            <w:noWrap/>
            <w:vAlign w:val="center"/>
            <w:hideMark/>
          </w:tcPr>
          <w:p w14:paraId="4A696C4C"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15</w:t>
            </w:r>
          </w:p>
        </w:tc>
      </w:tr>
      <w:tr w:rsidR="00EC5411" w:rsidRPr="00EC5411" w14:paraId="1448FC63" w14:textId="77777777" w:rsidTr="00EC5411">
        <w:trPr>
          <w:trHeight w:val="300"/>
        </w:trPr>
        <w:tc>
          <w:tcPr>
            <w:tcW w:w="0" w:type="auto"/>
            <w:tcBorders>
              <w:top w:val="nil"/>
              <w:left w:val="nil"/>
              <w:bottom w:val="nil"/>
              <w:right w:val="nil"/>
            </w:tcBorders>
            <w:noWrap/>
            <w:vAlign w:val="center"/>
            <w:hideMark/>
          </w:tcPr>
          <w:p w14:paraId="63BAE89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5)</w:t>
            </w:r>
          </w:p>
        </w:tc>
        <w:tc>
          <w:tcPr>
            <w:tcW w:w="0" w:type="auto"/>
            <w:tcBorders>
              <w:top w:val="nil"/>
              <w:left w:val="nil"/>
              <w:bottom w:val="nil"/>
              <w:right w:val="nil"/>
            </w:tcBorders>
            <w:noWrap/>
            <w:vAlign w:val="center"/>
            <w:hideMark/>
          </w:tcPr>
          <w:p w14:paraId="1479894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Solução IPM</w:t>
            </w:r>
            <w:r w:rsidRPr="00EC5411">
              <w:rPr>
                <w:rFonts w:eastAsia="Times New Roman" w:cstheme="minorHAnsi"/>
                <w:color w:val="000000"/>
                <w:sz w:val="24"/>
                <w:szCs w:val="24"/>
                <w:vertAlign w:val="superscript"/>
                <w:lang w:eastAsia="pt-BR"/>
              </w:rPr>
              <w:t>21</w:t>
            </w:r>
          </w:p>
        </w:tc>
        <w:tc>
          <w:tcPr>
            <w:tcW w:w="0" w:type="auto"/>
            <w:tcBorders>
              <w:top w:val="nil"/>
              <w:left w:val="nil"/>
              <w:bottom w:val="nil"/>
              <w:right w:val="nil"/>
            </w:tcBorders>
            <w:noWrap/>
            <w:vAlign w:val="center"/>
            <w:hideMark/>
          </w:tcPr>
          <w:p w14:paraId="15951B6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16</w:t>
            </w:r>
          </w:p>
        </w:tc>
      </w:tr>
      <w:tr w:rsidR="00EC5411" w:rsidRPr="00EC5411" w14:paraId="504AB550" w14:textId="77777777" w:rsidTr="00EC5411">
        <w:trPr>
          <w:trHeight w:val="300"/>
        </w:trPr>
        <w:tc>
          <w:tcPr>
            <w:tcW w:w="0" w:type="auto"/>
            <w:tcBorders>
              <w:top w:val="nil"/>
              <w:left w:val="nil"/>
              <w:bottom w:val="nil"/>
              <w:right w:val="nil"/>
            </w:tcBorders>
            <w:noWrap/>
            <w:vAlign w:val="center"/>
            <w:hideMark/>
          </w:tcPr>
          <w:p w14:paraId="4F071DC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6)</w:t>
            </w:r>
          </w:p>
        </w:tc>
        <w:tc>
          <w:tcPr>
            <w:tcW w:w="0" w:type="auto"/>
            <w:tcBorders>
              <w:top w:val="nil"/>
              <w:left w:val="nil"/>
              <w:bottom w:val="nil"/>
              <w:right w:val="nil"/>
            </w:tcBorders>
            <w:noWrap/>
            <w:vAlign w:val="center"/>
            <w:hideMark/>
          </w:tcPr>
          <w:p w14:paraId="5F0D735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Solução FISCONFORME (Malhas Fiscais)</w:t>
            </w:r>
          </w:p>
        </w:tc>
        <w:tc>
          <w:tcPr>
            <w:tcW w:w="0" w:type="auto"/>
            <w:tcBorders>
              <w:top w:val="nil"/>
              <w:left w:val="nil"/>
              <w:bottom w:val="nil"/>
              <w:right w:val="nil"/>
            </w:tcBorders>
            <w:noWrap/>
            <w:vAlign w:val="center"/>
            <w:hideMark/>
          </w:tcPr>
          <w:p w14:paraId="220FB976"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18</w:t>
            </w:r>
          </w:p>
        </w:tc>
      </w:tr>
      <w:tr w:rsidR="00EC5411" w:rsidRPr="00EC5411" w14:paraId="626EC923" w14:textId="77777777" w:rsidTr="00EC5411">
        <w:trPr>
          <w:trHeight w:val="300"/>
        </w:trPr>
        <w:tc>
          <w:tcPr>
            <w:tcW w:w="0" w:type="auto"/>
            <w:tcBorders>
              <w:top w:val="nil"/>
              <w:left w:val="nil"/>
              <w:bottom w:val="nil"/>
              <w:right w:val="nil"/>
            </w:tcBorders>
            <w:noWrap/>
            <w:vAlign w:val="center"/>
            <w:hideMark/>
          </w:tcPr>
          <w:p w14:paraId="5D1AA8E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7)</w:t>
            </w:r>
          </w:p>
        </w:tc>
        <w:tc>
          <w:tcPr>
            <w:tcW w:w="0" w:type="auto"/>
            <w:tcBorders>
              <w:top w:val="nil"/>
              <w:left w:val="nil"/>
              <w:bottom w:val="nil"/>
              <w:right w:val="nil"/>
            </w:tcBorders>
            <w:noWrap/>
            <w:vAlign w:val="center"/>
            <w:hideMark/>
          </w:tcPr>
          <w:p w14:paraId="62CECD3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SED - Sistema de Encaminhamento de Débitos</w:t>
            </w:r>
          </w:p>
        </w:tc>
        <w:tc>
          <w:tcPr>
            <w:tcW w:w="0" w:type="auto"/>
            <w:tcBorders>
              <w:top w:val="nil"/>
              <w:left w:val="nil"/>
              <w:bottom w:val="nil"/>
              <w:right w:val="nil"/>
            </w:tcBorders>
            <w:noWrap/>
            <w:vAlign w:val="center"/>
            <w:hideMark/>
          </w:tcPr>
          <w:p w14:paraId="32A4416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23</w:t>
            </w:r>
          </w:p>
        </w:tc>
      </w:tr>
      <w:tr w:rsidR="00EC5411" w:rsidRPr="00EC5411" w14:paraId="336541E7" w14:textId="77777777" w:rsidTr="00EC5411">
        <w:trPr>
          <w:trHeight w:val="300"/>
        </w:trPr>
        <w:tc>
          <w:tcPr>
            <w:tcW w:w="0" w:type="auto"/>
            <w:tcBorders>
              <w:top w:val="nil"/>
              <w:left w:val="nil"/>
              <w:bottom w:val="nil"/>
              <w:right w:val="nil"/>
            </w:tcBorders>
            <w:noWrap/>
            <w:vAlign w:val="center"/>
            <w:hideMark/>
          </w:tcPr>
          <w:p w14:paraId="4F273C0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8)</w:t>
            </w:r>
          </w:p>
        </w:tc>
        <w:tc>
          <w:tcPr>
            <w:tcW w:w="0" w:type="auto"/>
            <w:tcBorders>
              <w:top w:val="nil"/>
              <w:left w:val="nil"/>
              <w:bottom w:val="nil"/>
              <w:right w:val="nil"/>
            </w:tcBorders>
            <w:noWrap/>
            <w:vAlign w:val="bottom"/>
            <w:hideMark/>
          </w:tcPr>
          <w:p w14:paraId="2F378DA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Mais Fácil</w:t>
            </w:r>
          </w:p>
        </w:tc>
        <w:tc>
          <w:tcPr>
            <w:tcW w:w="0" w:type="auto"/>
            <w:tcBorders>
              <w:top w:val="nil"/>
              <w:left w:val="nil"/>
              <w:bottom w:val="nil"/>
              <w:right w:val="nil"/>
            </w:tcBorders>
            <w:noWrap/>
            <w:vAlign w:val="center"/>
            <w:hideMark/>
          </w:tcPr>
          <w:p w14:paraId="0140F0D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24</w:t>
            </w:r>
          </w:p>
        </w:tc>
      </w:tr>
      <w:tr w:rsidR="00EC5411" w:rsidRPr="00EC5411" w14:paraId="646A45E8" w14:textId="77777777" w:rsidTr="00EC5411">
        <w:trPr>
          <w:trHeight w:val="300"/>
        </w:trPr>
        <w:tc>
          <w:tcPr>
            <w:tcW w:w="0" w:type="auto"/>
            <w:tcBorders>
              <w:top w:val="nil"/>
              <w:left w:val="nil"/>
              <w:bottom w:val="nil"/>
              <w:right w:val="nil"/>
            </w:tcBorders>
            <w:noWrap/>
            <w:vAlign w:val="center"/>
            <w:hideMark/>
          </w:tcPr>
          <w:p w14:paraId="4E9DF8C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9)</w:t>
            </w:r>
          </w:p>
        </w:tc>
        <w:tc>
          <w:tcPr>
            <w:tcW w:w="0" w:type="auto"/>
            <w:tcBorders>
              <w:top w:val="nil"/>
              <w:left w:val="nil"/>
              <w:bottom w:val="nil"/>
              <w:right w:val="nil"/>
            </w:tcBorders>
            <w:noWrap/>
            <w:vAlign w:val="bottom"/>
            <w:hideMark/>
          </w:tcPr>
          <w:p w14:paraId="1D5F03E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Regimes Especiais</w:t>
            </w:r>
          </w:p>
        </w:tc>
        <w:tc>
          <w:tcPr>
            <w:tcW w:w="0" w:type="auto"/>
            <w:tcBorders>
              <w:top w:val="nil"/>
              <w:left w:val="nil"/>
              <w:bottom w:val="nil"/>
              <w:right w:val="nil"/>
            </w:tcBorders>
            <w:noWrap/>
            <w:vAlign w:val="center"/>
            <w:hideMark/>
          </w:tcPr>
          <w:p w14:paraId="61250629"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25</w:t>
            </w:r>
          </w:p>
        </w:tc>
      </w:tr>
      <w:tr w:rsidR="00EC5411" w:rsidRPr="00EC5411" w14:paraId="1B9D242B" w14:textId="77777777" w:rsidTr="00EC5411">
        <w:trPr>
          <w:trHeight w:val="300"/>
        </w:trPr>
        <w:tc>
          <w:tcPr>
            <w:tcW w:w="0" w:type="auto"/>
            <w:tcBorders>
              <w:top w:val="nil"/>
              <w:left w:val="nil"/>
              <w:bottom w:val="nil"/>
              <w:right w:val="nil"/>
            </w:tcBorders>
            <w:noWrap/>
            <w:vAlign w:val="center"/>
            <w:hideMark/>
          </w:tcPr>
          <w:p w14:paraId="5C08CE8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10)</w:t>
            </w:r>
          </w:p>
        </w:tc>
        <w:tc>
          <w:tcPr>
            <w:tcW w:w="0" w:type="auto"/>
            <w:tcBorders>
              <w:top w:val="nil"/>
              <w:left w:val="nil"/>
              <w:bottom w:val="nil"/>
              <w:right w:val="nil"/>
            </w:tcBorders>
            <w:noWrap/>
            <w:vAlign w:val="bottom"/>
            <w:hideMark/>
          </w:tcPr>
          <w:p w14:paraId="58E773B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Arrecadação Estadual</w:t>
            </w:r>
          </w:p>
        </w:tc>
        <w:tc>
          <w:tcPr>
            <w:tcW w:w="0" w:type="auto"/>
            <w:tcBorders>
              <w:top w:val="nil"/>
              <w:left w:val="nil"/>
              <w:bottom w:val="nil"/>
              <w:right w:val="nil"/>
            </w:tcBorders>
            <w:noWrap/>
            <w:vAlign w:val="center"/>
            <w:hideMark/>
          </w:tcPr>
          <w:p w14:paraId="42503F67"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26</w:t>
            </w:r>
          </w:p>
        </w:tc>
      </w:tr>
      <w:tr w:rsidR="00EC5411" w:rsidRPr="00EC5411" w14:paraId="75DC0299" w14:textId="77777777" w:rsidTr="00EC5411">
        <w:trPr>
          <w:trHeight w:val="300"/>
        </w:trPr>
        <w:tc>
          <w:tcPr>
            <w:tcW w:w="0" w:type="auto"/>
            <w:tcBorders>
              <w:top w:val="nil"/>
              <w:left w:val="nil"/>
              <w:bottom w:val="nil"/>
              <w:right w:val="nil"/>
            </w:tcBorders>
            <w:noWrap/>
            <w:vAlign w:val="center"/>
            <w:hideMark/>
          </w:tcPr>
          <w:p w14:paraId="76813F9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11)</w:t>
            </w:r>
          </w:p>
        </w:tc>
        <w:tc>
          <w:tcPr>
            <w:tcW w:w="0" w:type="auto"/>
            <w:tcBorders>
              <w:top w:val="nil"/>
              <w:left w:val="nil"/>
              <w:bottom w:val="nil"/>
              <w:right w:val="nil"/>
            </w:tcBorders>
            <w:noWrap/>
            <w:vAlign w:val="bottom"/>
            <w:hideMark/>
          </w:tcPr>
          <w:p w14:paraId="57725A8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Cobrança IPVA</w:t>
            </w:r>
          </w:p>
        </w:tc>
        <w:tc>
          <w:tcPr>
            <w:tcW w:w="0" w:type="auto"/>
            <w:tcBorders>
              <w:top w:val="nil"/>
              <w:left w:val="nil"/>
              <w:bottom w:val="nil"/>
              <w:right w:val="nil"/>
            </w:tcBorders>
            <w:noWrap/>
            <w:vAlign w:val="center"/>
            <w:hideMark/>
          </w:tcPr>
          <w:p w14:paraId="5906D31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27</w:t>
            </w:r>
          </w:p>
        </w:tc>
      </w:tr>
      <w:tr w:rsidR="00EC5411" w:rsidRPr="00EC5411" w14:paraId="39A90490" w14:textId="77777777" w:rsidTr="00EC5411">
        <w:trPr>
          <w:trHeight w:val="300"/>
        </w:trPr>
        <w:tc>
          <w:tcPr>
            <w:tcW w:w="0" w:type="auto"/>
            <w:tcBorders>
              <w:top w:val="nil"/>
              <w:left w:val="nil"/>
              <w:bottom w:val="nil"/>
              <w:right w:val="nil"/>
            </w:tcBorders>
            <w:noWrap/>
            <w:vAlign w:val="center"/>
            <w:hideMark/>
          </w:tcPr>
          <w:p w14:paraId="145C961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12)</w:t>
            </w:r>
          </w:p>
        </w:tc>
        <w:tc>
          <w:tcPr>
            <w:tcW w:w="0" w:type="auto"/>
            <w:tcBorders>
              <w:top w:val="nil"/>
              <w:left w:val="nil"/>
              <w:bottom w:val="nil"/>
              <w:right w:val="nil"/>
            </w:tcBorders>
            <w:noWrap/>
            <w:vAlign w:val="bottom"/>
            <w:hideMark/>
          </w:tcPr>
          <w:p w14:paraId="3EF73A4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ITCD Consulta DIEF</w:t>
            </w:r>
          </w:p>
        </w:tc>
        <w:tc>
          <w:tcPr>
            <w:tcW w:w="0" w:type="auto"/>
            <w:tcBorders>
              <w:top w:val="nil"/>
              <w:left w:val="nil"/>
              <w:bottom w:val="nil"/>
              <w:right w:val="nil"/>
            </w:tcBorders>
            <w:noWrap/>
            <w:vAlign w:val="center"/>
            <w:hideMark/>
          </w:tcPr>
          <w:p w14:paraId="2D83F05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28</w:t>
            </w:r>
          </w:p>
        </w:tc>
      </w:tr>
      <w:tr w:rsidR="00EC5411" w:rsidRPr="00EC5411" w14:paraId="7B724E31" w14:textId="77777777" w:rsidTr="00EC5411">
        <w:trPr>
          <w:trHeight w:val="300"/>
        </w:trPr>
        <w:tc>
          <w:tcPr>
            <w:tcW w:w="0" w:type="auto"/>
            <w:tcBorders>
              <w:top w:val="nil"/>
              <w:left w:val="nil"/>
              <w:bottom w:val="nil"/>
              <w:right w:val="nil"/>
            </w:tcBorders>
            <w:noWrap/>
            <w:vAlign w:val="center"/>
            <w:hideMark/>
          </w:tcPr>
          <w:p w14:paraId="2420EDE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13)</w:t>
            </w:r>
          </w:p>
        </w:tc>
        <w:tc>
          <w:tcPr>
            <w:tcW w:w="0" w:type="auto"/>
            <w:tcBorders>
              <w:top w:val="nil"/>
              <w:left w:val="nil"/>
              <w:bottom w:val="nil"/>
              <w:right w:val="nil"/>
            </w:tcBorders>
            <w:noWrap/>
            <w:vAlign w:val="bottom"/>
            <w:hideMark/>
          </w:tcPr>
          <w:p w14:paraId="1E540F8A"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Sistema Vistoria</w:t>
            </w:r>
          </w:p>
        </w:tc>
        <w:tc>
          <w:tcPr>
            <w:tcW w:w="0" w:type="auto"/>
            <w:tcBorders>
              <w:top w:val="nil"/>
              <w:left w:val="nil"/>
              <w:bottom w:val="nil"/>
              <w:right w:val="nil"/>
            </w:tcBorders>
            <w:noWrap/>
            <w:vAlign w:val="center"/>
            <w:hideMark/>
          </w:tcPr>
          <w:p w14:paraId="19E4D95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29</w:t>
            </w:r>
          </w:p>
        </w:tc>
      </w:tr>
      <w:tr w:rsidR="00EC5411" w:rsidRPr="00EC5411" w14:paraId="518CB07A" w14:textId="77777777" w:rsidTr="00EC5411">
        <w:trPr>
          <w:trHeight w:val="300"/>
        </w:trPr>
        <w:tc>
          <w:tcPr>
            <w:tcW w:w="0" w:type="auto"/>
            <w:tcBorders>
              <w:top w:val="nil"/>
              <w:left w:val="nil"/>
              <w:bottom w:val="nil"/>
              <w:right w:val="nil"/>
            </w:tcBorders>
            <w:noWrap/>
            <w:vAlign w:val="center"/>
            <w:hideMark/>
          </w:tcPr>
          <w:p w14:paraId="6B2EB678"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14)</w:t>
            </w:r>
          </w:p>
        </w:tc>
        <w:tc>
          <w:tcPr>
            <w:tcW w:w="0" w:type="auto"/>
            <w:tcBorders>
              <w:top w:val="nil"/>
              <w:left w:val="nil"/>
              <w:bottom w:val="nil"/>
              <w:right w:val="nil"/>
            </w:tcBorders>
            <w:noWrap/>
            <w:vAlign w:val="bottom"/>
            <w:hideMark/>
          </w:tcPr>
          <w:p w14:paraId="7A1AFF6B" w14:textId="77777777" w:rsidR="00EC5411" w:rsidRPr="00EC5411" w:rsidRDefault="00EC5411" w:rsidP="00EC5411">
            <w:pPr>
              <w:spacing w:after="0" w:line="240" w:lineRule="auto"/>
              <w:rPr>
                <w:rFonts w:eastAsia="Times New Roman" w:cstheme="minorHAnsi"/>
                <w:sz w:val="24"/>
                <w:szCs w:val="24"/>
                <w:lang w:eastAsia="pt-BR"/>
              </w:rPr>
            </w:pPr>
            <w:proofErr w:type="spellStart"/>
            <w:r w:rsidRPr="00EC5411">
              <w:rPr>
                <w:rFonts w:eastAsia="Times New Roman" w:cstheme="minorHAnsi"/>
                <w:color w:val="000000"/>
                <w:sz w:val="24"/>
                <w:szCs w:val="24"/>
                <w:lang w:eastAsia="pt-BR"/>
              </w:rPr>
              <w:t>SisMonitora</w:t>
            </w:r>
            <w:proofErr w:type="spellEnd"/>
          </w:p>
        </w:tc>
        <w:tc>
          <w:tcPr>
            <w:tcW w:w="0" w:type="auto"/>
            <w:tcBorders>
              <w:top w:val="nil"/>
              <w:left w:val="nil"/>
              <w:bottom w:val="nil"/>
              <w:right w:val="nil"/>
            </w:tcBorders>
            <w:noWrap/>
            <w:vAlign w:val="center"/>
            <w:hideMark/>
          </w:tcPr>
          <w:p w14:paraId="78C5A660"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30</w:t>
            </w:r>
          </w:p>
        </w:tc>
      </w:tr>
      <w:tr w:rsidR="00EC5411" w:rsidRPr="00EC5411" w14:paraId="2A358147" w14:textId="77777777" w:rsidTr="00EC5411">
        <w:trPr>
          <w:trHeight w:val="300"/>
        </w:trPr>
        <w:tc>
          <w:tcPr>
            <w:tcW w:w="0" w:type="auto"/>
            <w:tcBorders>
              <w:top w:val="nil"/>
              <w:left w:val="nil"/>
              <w:bottom w:val="nil"/>
              <w:right w:val="nil"/>
            </w:tcBorders>
            <w:noWrap/>
            <w:vAlign w:val="center"/>
            <w:hideMark/>
          </w:tcPr>
          <w:p w14:paraId="1D5B1F0D"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15)</w:t>
            </w:r>
          </w:p>
        </w:tc>
        <w:tc>
          <w:tcPr>
            <w:tcW w:w="0" w:type="auto"/>
            <w:tcBorders>
              <w:top w:val="nil"/>
              <w:left w:val="nil"/>
              <w:bottom w:val="nil"/>
              <w:right w:val="nil"/>
            </w:tcBorders>
            <w:noWrap/>
            <w:vAlign w:val="bottom"/>
            <w:hideMark/>
          </w:tcPr>
          <w:p w14:paraId="4BC2EA52"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Denúncia Eletrônica</w:t>
            </w:r>
          </w:p>
        </w:tc>
        <w:tc>
          <w:tcPr>
            <w:tcW w:w="0" w:type="auto"/>
            <w:tcBorders>
              <w:top w:val="nil"/>
              <w:left w:val="nil"/>
              <w:bottom w:val="nil"/>
              <w:right w:val="nil"/>
            </w:tcBorders>
            <w:noWrap/>
            <w:vAlign w:val="center"/>
            <w:hideMark/>
          </w:tcPr>
          <w:p w14:paraId="0FA43943"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33</w:t>
            </w:r>
          </w:p>
        </w:tc>
      </w:tr>
      <w:tr w:rsidR="00EC5411" w:rsidRPr="00EC5411" w14:paraId="710B808A" w14:textId="77777777" w:rsidTr="00EC5411">
        <w:trPr>
          <w:trHeight w:val="300"/>
        </w:trPr>
        <w:tc>
          <w:tcPr>
            <w:tcW w:w="0" w:type="auto"/>
            <w:tcBorders>
              <w:top w:val="nil"/>
              <w:left w:val="nil"/>
              <w:bottom w:val="nil"/>
              <w:right w:val="nil"/>
            </w:tcBorders>
            <w:noWrap/>
            <w:vAlign w:val="center"/>
            <w:hideMark/>
          </w:tcPr>
          <w:p w14:paraId="61AD54A3"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16)</w:t>
            </w:r>
          </w:p>
        </w:tc>
        <w:tc>
          <w:tcPr>
            <w:tcW w:w="0" w:type="auto"/>
            <w:tcBorders>
              <w:top w:val="nil"/>
              <w:left w:val="nil"/>
              <w:bottom w:val="nil"/>
              <w:right w:val="nil"/>
            </w:tcBorders>
            <w:noWrap/>
            <w:vAlign w:val="bottom"/>
            <w:hideMark/>
          </w:tcPr>
          <w:p w14:paraId="5194D4DE"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Visão Contribuinte 360</w:t>
            </w:r>
          </w:p>
        </w:tc>
        <w:tc>
          <w:tcPr>
            <w:tcW w:w="0" w:type="auto"/>
            <w:tcBorders>
              <w:top w:val="nil"/>
              <w:left w:val="nil"/>
              <w:bottom w:val="nil"/>
              <w:right w:val="nil"/>
            </w:tcBorders>
            <w:noWrap/>
            <w:vAlign w:val="center"/>
            <w:hideMark/>
          </w:tcPr>
          <w:p w14:paraId="55B738D1"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34</w:t>
            </w:r>
          </w:p>
        </w:tc>
      </w:tr>
      <w:tr w:rsidR="00EC5411" w:rsidRPr="00EC5411" w14:paraId="1880FABD" w14:textId="77777777" w:rsidTr="00EC5411">
        <w:trPr>
          <w:trHeight w:val="300"/>
        </w:trPr>
        <w:tc>
          <w:tcPr>
            <w:tcW w:w="0" w:type="auto"/>
            <w:tcBorders>
              <w:top w:val="nil"/>
              <w:left w:val="nil"/>
              <w:bottom w:val="nil"/>
              <w:right w:val="nil"/>
            </w:tcBorders>
            <w:noWrap/>
            <w:vAlign w:val="center"/>
            <w:hideMark/>
          </w:tcPr>
          <w:p w14:paraId="614F2D6F"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17)</w:t>
            </w:r>
          </w:p>
        </w:tc>
        <w:tc>
          <w:tcPr>
            <w:tcW w:w="0" w:type="auto"/>
            <w:tcBorders>
              <w:top w:val="nil"/>
              <w:left w:val="nil"/>
              <w:bottom w:val="nil"/>
              <w:right w:val="nil"/>
            </w:tcBorders>
            <w:noWrap/>
            <w:vAlign w:val="bottom"/>
            <w:hideMark/>
          </w:tcPr>
          <w:p w14:paraId="358EEC8B"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e-</w:t>
            </w:r>
            <w:proofErr w:type="spellStart"/>
            <w:r w:rsidRPr="00EC5411">
              <w:rPr>
                <w:rFonts w:eastAsia="Times New Roman" w:cstheme="minorHAnsi"/>
                <w:color w:val="000000"/>
                <w:sz w:val="24"/>
                <w:szCs w:val="24"/>
                <w:lang w:eastAsia="pt-BR"/>
              </w:rPr>
              <w:t>Fisc</w:t>
            </w:r>
            <w:proofErr w:type="spellEnd"/>
          </w:p>
        </w:tc>
        <w:tc>
          <w:tcPr>
            <w:tcW w:w="0" w:type="auto"/>
            <w:tcBorders>
              <w:top w:val="nil"/>
              <w:left w:val="nil"/>
              <w:bottom w:val="nil"/>
              <w:right w:val="nil"/>
            </w:tcBorders>
            <w:noWrap/>
            <w:vAlign w:val="center"/>
            <w:hideMark/>
          </w:tcPr>
          <w:p w14:paraId="47155594"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35</w:t>
            </w:r>
          </w:p>
        </w:tc>
      </w:tr>
    </w:tbl>
    <w:p w14:paraId="271FF4AF"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19"/>
        <w:gridCol w:w="1413"/>
        <w:gridCol w:w="1769"/>
        <w:gridCol w:w="2699"/>
      </w:tblGrid>
      <w:tr w:rsidR="00EC5411" w:rsidRPr="00EC5411" w14:paraId="2C14298A"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noWrap/>
            <w:vAlign w:val="center"/>
            <w:hideMark/>
          </w:tcPr>
          <w:p w14:paraId="204FAFB3" w14:textId="2CE690AB" w:rsidR="00EC5411" w:rsidRPr="00EC5411" w:rsidRDefault="00EC5411" w:rsidP="00EC5411">
            <w:pPr>
              <w:spacing w:before="100" w:beforeAutospacing="1" w:after="100" w:afterAutospacing="1" w:line="240" w:lineRule="auto"/>
              <w:outlineLvl w:val="0"/>
              <w:rPr>
                <w:rFonts w:eastAsia="Times New Roman" w:cstheme="minorHAnsi"/>
                <w:b/>
                <w:bCs/>
                <w:kern w:val="36"/>
                <w:sz w:val="24"/>
                <w:szCs w:val="24"/>
                <w:lang w:eastAsia="pt-BR"/>
              </w:rPr>
            </w:pPr>
            <w:r w:rsidRPr="00EC5411">
              <w:rPr>
                <w:rFonts w:eastAsia="Times New Roman" w:cstheme="minorHAnsi"/>
                <w:color w:val="000000"/>
                <w:sz w:val="24"/>
                <w:szCs w:val="24"/>
                <w:lang w:eastAsia="pt-BR"/>
              </w:rPr>
              <w:lastRenderedPageBreak/>
              <w:t> </w:t>
            </w:r>
            <w:bookmarkStart w:id="0" w:name="_Toc122521735"/>
            <w:r w:rsidRPr="00EC5411">
              <w:rPr>
                <w:rFonts w:eastAsia="Times New Roman" w:cstheme="minorHAnsi"/>
                <w:b/>
                <w:bCs/>
                <w:kern w:val="36"/>
                <w:sz w:val="24"/>
                <w:szCs w:val="24"/>
                <w:lang w:eastAsia="pt-BR"/>
              </w:rPr>
              <w:t>Cartão Cidade</w:t>
            </w:r>
            <w:bookmarkEnd w:id="0"/>
          </w:p>
        </w:tc>
      </w:tr>
      <w:tr w:rsidR="00EC5411" w:rsidRPr="00EC5411" w14:paraId="038C54C4"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C8A5FD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 Sistema de monitoramento em operações de venda com cartões de crédito e débito que permite o cruzamento de informações por meio de dados fornecidos pelas operadoras dos cartões. Realiza o cruzamento das informações enviadas pelas operadoras de cartão com as que os contribuintes declaram mensalmente à SEFIN/RO. O sistema em comento é mais uma ferramenta de combate à sonegação fiscal. Além disso, o acesso às informações dos cartões de crédito será disponibilizado aos municípios que celebraram Termo de Cooperação Técnica com o Governo do Estado de Rondônia, possibilitando ao município dispor de informações utilizadas também para fiscalização de atividades em que incidem ISSQN, como também cobrar ISSQN sobre as tarifas das administradoras de cartão de crédito.</w:t>
            </w:r>
          </w:p>
        </w:tc>
      </w:tr>
      <w:tr w:rsidR="00EC5411" w:rsidRPr="00EC5411" w14:paraId="540FA188"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99C8E8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Menu</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1410F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ADC3B6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DDFF6E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3E6F27D1"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76B4BF4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Menu Principal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1B4E6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Dados do Cartão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B9B1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Sintético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87FE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Traz informações individualizadas por contribuintes totalizando os montantes das transações realizadas a crédito e a débito.</w:t>
            </w:r>
          </w:p>
        </w:tc>
      </w:tr>
      <w:tr w:rsidR="00EC5411" w:rsidRPr="00EC5411" w14:paraId="3D6BC820"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9575C89"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85C4EB"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03A5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Analítico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B2D0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Traz valores detalhados por operação.</w:t>
            </w:r>
          </w:p>
        </w:tc>
      </w:tr>
      <w:tr w:rsidR="00EC5411" w:rsidRPr="00EC5411" w14:paraId="705D66C4"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E95840"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EB8D48"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7CAB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Por Operadora</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93D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Exibe os valores negociados por operadora totalizando os montantes transacionados a crédito e débito.</w:t>
            </w:r>
          </w:p>
        </w:tc>
      </w:tr>
      <w:tr w:rsidR="00EC5411" w:rsidRPr="00EC5411" w14:paraId="201455A9"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A3C532E"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FEDC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Empresas Cadastradas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255AC"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D618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Rol de contribuintes com status de informação daqueles que transacionaram ou não com cartão de crédito.</w:t>
            </w:r>
          </w:p>
        </w:tc>
      </w:tr>
    </w:tbl>
    <w:p w14:paraId="4726FC8D"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3DB383FD"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77"/>
        <w:gridCol w:w="3475"/>
        <w:gridCol w:w="2348"/>
      </w:tblGrid>
      <w:tr w:rsidR="00EC5411" w:rsidRPr="00EC5411" w14:paraId="572A8699"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noWrap/>
            <w:vAlign w:val="center"/>
            <w:hideMark/>
          </w:tcPr>
          <w:p w14:paraId="2ADB67CA" w14:textId="77777777" w:rsidR="00EC5411" w:rsidRPr="00EC5411" w:rsidRDefault="00EC5411" w:rsidP="00EC5411">
            <w:pPr>
              <w:spacing w:before="100" w:beforeAutospacing="1" w:after="100" w:afterAutospacing="1" w:line="240" w:lineRule="auto"/>
              <w:outlineLvl w:val="0"/>
              <w:rPr>
                <w:rFonts w:eastAsia="Times New Roman" w:cstheme="minorHAnsi"/>
                <w:b/>
                <w:bCs/>
                <w:kern w:val="36"/>
                <w:sz w:val="24"/>
                <w:szCs w:val="24"/>
                <w:lang w:eastAsia="pt-BR"/>
              </w:rPr>
            </w:pPr>
            <w:bookmarkStart w:id="1" w:name="_Toc122521736"/>
            <w:r w:rsidRPr="00EC5411">
              <w:rPr>
                <w:rFonts w:eastAsia="Times New Roman" w:cstheme="minorHAnsi"/>
                <w:b/>
                <w:bCs/>
                <w:kern w:val="36"/>
                <w:sz w:val="24"/>
                <w:szCs w:val="24"/>
                <w:lang w:eastAsia="pt-BR"/>
              </w:rPr>
              <w:t>Estoque da Dívida</w:t>
            </w:r>
            <w:bookmarkEnd w:id="1"/>
          </w:p>
          <w:p w14:paraId="3E2972E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w:t>
            </w:r>
          </w:p>
        </w:tc>
      </w:tr>
      <w:tr w:rsidR="00EC5411" w:rsidRPr="00EC5411" w14:paraId="62D57FDF"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57A84A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 O Sistema de estoque da Dívida Ativa visa dar informações do banco de dados da SEFIN/RO levando em consideração o código de receita vinculado ao crédito tributário e não tributário, bem como sua situação.</w:t>
            </w:r>
          </w:p>
          <w:p w14:paraId="183F07A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w:t>
            </w:r>
          </w:p>
          <w:p w14:paraId="4515727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Endereço: </w:t>
            </w:r>
            <w:hyperlink r:id="rId5" w:tgtFrame="_blank" w:history="1">
              <w:r w:rsidRPr="00EC5411">
                <w:rPr>
                  <w:rFonts w:eastAsia="Times New Roman" w:cstheme="minorHAnsi"/>
                  <w:color w:val="0000FF"/>
                  <w:sz w:val="24"/>
                  <w:szCs w:val="24"/>
                  <w:u w:val="single"/>
                  <w:lang w:eastAsia="pt-BR"/>
                </w:rPr>
                <w:t>estoque.dividaativa.sefin.ro.gov.br</w:t>
              </w:r>
            </w:hyperlink>
          </w:p>
        </w:tc>
      </w:tr>
      <w:tr w:rsidR="00EC5411" w:rsidRPr="00EC5411" w14:paraId="6EA642A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9767C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Menu</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507F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09F2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Observação</w:t>
            </w:r>
          </w:p>
        </w:tc>
      </w:tr>
      <w:tr w:rsidR="00EC5411" w:rsidRPr="00EC5411" w14:paraId="4BEDE56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57F66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Estoque Analítico da Dívida</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CED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Lista o Estoque da Dívida Ativa, de modo que a geração do relatório abrange o conjunto de todos os lançamentos.</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3D637"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r>
      <w:tr w:rsidR="00EC5411" w:rsidRPr="00EC5411" w14:paraId="0476655D"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86901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lastRenderedPageBreak/>
              <w:t>Estoque Sintético da Dívida</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820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Lista o Estoque da Dívida Ativa, de modo que a geração do relatório abrange o conjunto de lançamentos agregados em suas respectivas receitas.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5A2E0"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r>
      <w:tr w:rsidR="00EC5411" w:rsidRPr="00EC5411" w14:paraId="60A4DAE6"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1B492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Estoque Provisão da Dívida</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2F32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Lista o Estoque da Dívida Ativa, de modo que os lançamentos possuem mais de 10 (dez) anos de vencimento na data da apuração.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6F4A8"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r>
      <w:tr w:rsidR="00EC5411" w:rsidRPr="00EC5411" w14:paraId="139ECB49"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6E8BC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Histórico de Parcelamento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57CE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Lista o Estoque da Dívida Ativa, de modo que a geração do relatório abrange o conjunto de lançamentos parcelados.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49BED"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r>
      <w:tr w:rsidR="00EC5411" w:rsidRPr="00EC5411" w14:paraId="0EE8C71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E9707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Situação do Lançamento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D0B0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Aba do sistema que funciona como índice para a situação dos lançamentos que o compreendem.</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CFE69"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r>
      <w:tr w:rsidR="00EC5411" w:rsidRPr="00EC5411" w14:paraId="6127937B"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2A284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Tipo de Lançamento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8EA3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Aba do sistema que funciona como índice para o tipo de lançamento, isto é, se tributário ou não.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FEF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Nesta aba também é possível ver a relação entre o código de receita e a unidade gestora.</w:t>
            </w:r>
          </w:p>
        </w:tc>
      </w:tr>
    </w:tbl>
    <w:p w14:paraId="4651C268"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992"/>
        <w:gridCol w:w="1574"/>
        <w:gridCol w:w="994"/>
        <w:gridCol w:w="2940"/>
      </w:tblGrid>
      <w:tr w:rsidR="00EC5411" w:rsidRPr="00EC5411" w14:paraId="39774C51"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noWrap/>
            <w:vAlign w:val="center"/>
            <w:hideMark/>
          </w:tcPr>
          <w:p w14:paraId="499BD8C3" w14:textId="77777777" w:rsidR="00EC5411" w:rsidRPr="00EC5411" w:rsidRDefault="00EC5411" w:rsidP="00EC5411">
            <w:pPr>
              <w:spacing w:before="100" w:beforeAutospacing="1" w:after="100" w:afterAutospacing="1" w:line="240" w:lineRule="auto"/>
              <w:outlineLvl w:val="0"/>
              <w:rPr>
                <w:rFonts w:eastAsia="Times New Roman" w:cstheme="minorHAnsi"/>
                <w:b/>
                <w:bCs/>
                <w:kern w:val="36"/>
                <w:sz w:val="24"/>
                <w:szCs w:val="24"/>
                <w:lang w:eastAsia="pt-BR"/>
              </w:rPr>
            </w:pPr>
            <w:bookmarkStart w:id="2" w:name="_Toc122521737"/>
            <w:r w:rsidRPr="00EC5411">
              <w:rPr>
                <w:rFonts w:eastAsia="Times New Roman" w:cstheme="minorHAnsi"/>
                <w:b/>
                <w:bCs/>
                <w:kern w:val="36"/>
                <w:sz w:val="24"/>
                <w:szCs w:val="24"/>
                <w:lang w:eastAsia="pt-BR"/>
              </w:rPr>
              <w:t>Solução BI da Oracle</w:t>
            </w:r>
            <w:bookmarkEnd w:id="2"/>
          </w:p>
          <w:p w14:paraId="7AD78787" w14:textId="4BEE0CBC"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
        </w:tc>
      </w:tr>
      <w:tr w:rsidR="00EC5411" w:rsidRPr="00EC5411" w14:paraId="703C2604"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noWrap/>
            <w:vAlign w:val="center"/>
            <w:hideMark/>
          </w:tcPr>
          <w:p w14:paraId="30B7861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p w14:paraId="0B9FB87C" w14:textId="066B7519"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
          <w:p w14:paraId="0975334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Endereço: </w:t>
            </w:r>
            <w:hyperlink r:id="rId6" w:tgtFrame="_blank" w:history="1">
              <w:r w:rsidRPr="00EC5411">
                <w:rPr>
                  <w:rFonts w:eastAsia="Times New Roman" w:cstheme="minorHAnsi"/>
                  <w:color w:val="0000FF"/>
                  <w:sz w:val="24"/>
                  <w:szCs w:val="24"/>
                  <w:u w:val="single"/>
                  <w:lang w:eastAsia="pt-BR"/>
                </w:rPr>
                <w:t>bi.sefin.ro.gov.br</w:t>
              </w:r>
            </w:hyperlink>
          </w:p>
        </w:tc>
      </w:tr>
      <w:tr w:rsidR="00EC5411" w:rsidRPr="00EC5411" w14:paraId="25DE0C2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8B6CC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E0F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EF83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5398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06B2E7D6"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84E88B"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3" w:name="_Toc122521738"/>
            <w:r w:rsidRPr="00EC5411">
              <w:rPr>
                <w:rFonts w:eastAsia="Times New Roman" w:cstheme="minorHAnsi"/>
                <w:b/>
                <w:bCs/>
                <w:sz w:val="24"/>
                <w:szCs w:val="24"/>
                <w:lang w:eastAsia="pt-BR"/>
              </w:rPr>
              <w:t>Acompanhamento da CONSIT</w:t>
            </w:r>
            <w:r w:rsidRPr="00EC5411">
              <w:rPr>
                <w:rFonts w:eastAsia="Times New Roman" w:cstheme="minorHAnsi"/>
                <w:b/>
                <w:bCs/>
                <w:sz w:val="24"/>
                <w:szCs w:val="24"/>
                <w:vertAlign w:val="superscript"/>
                <w:lang w:eastAsia="pt-BR"/>
              </w:rPr>
              <w:t>4</w:t>
            </w:r>
            <w:bookmarkEnd w:id="3"/>
          </w:p>
        </w:tc>
        <w:tc>
          <w:tcPr>
            <w:tcW w:w="0" w:type="auto"/>
            <w:tcBorders>
              <w:top w:val="outset" w:sz="6" w:space="0" w:color="auto"/>
              <w:left w:val="outset" w:sz="6" w:space="0" w:color="auto"/>
              <w:bottom w:val="outset" w:sz="6" w:space="0" w:color="auto"/>
              <w:right w:val="outset" w:sz="6" w:space="0" w:color="auto"/>
            </w:tcBorders>
            <w:vAlign w:val="center"/>
            <w:hideMark/>
          </w:tcPr>
          <w:p w14:paraId="4FD9F51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FITHA¹ - Frigoríficos</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B351C"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16C4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valores devidos, lançados e pagos do Fundo FITHA para os frigoríficos beneficiados pelo Incentivo Tributário previsto na Lei nº 1558/2005 (CONDER²).</w:t>
            </w:r>
          </w:p>
        </w:tc>
      </w:tr>
      <w:tr w:rsidR="00EC5411" w:rsidRPr="00EC5411" w14:paraId="7DB1FDF2"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874B7A3"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B5B93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FITHA - Demais</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3404"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B70C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valores devidos, lançados e pagos do Fundo FITHA para os empreendimentos beneficiados pelo Incentivo Tributário previsto na Lei nº 1558/2005 (CONDER) que estão obrigados a recolhê-lo.</w:t>
            </w:r>
          </w:p>
        </w:tc>
      </w:tr>
      <w:tr w:rsidR="00EC5411" w:rsidRPr="00EC5411" w14:paraId="7D6E035C"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68189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840D1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FIDER³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6A941"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81F8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Apresenta os valores devidos, lançados e pagos do Fundo FIDER para os </w:t>
            </w:r>
            <w:r w:rsidRPr="00EC5411">
              <w:rPr>
                <w:rFonts w:eastAsia="Times New Roman" w:cstheme="minorHAnsi"/>
                <w:sz w:val="24"/>
                <w:szCs w:val="24"/>
                <w:lang w:eastAsia="pt-BR"/>
              </w:rPr>
              <w:lastRenderedPageBreak/>
              <w:t>empreendimentos beneficiados pelo Incentivo Tributário previsto na Lei nº 1558/2005 (CONDER) que estão obrigados a recolhê-lo.</w:t>
            </w:r>
          </w:p>
        </w:tc>
      </w:tr>
      <w:tr w:rsidR="00EC5411" w:rsidRPr="00EC5411" w14:paraId="2862E789"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83DCA8"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B4D2C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Pró-Leite</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7DE08"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E33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valores devidos, lançados e pagos do Fundo PRÓ-LEITE para os empreendimentos beneficiados pelo Incentivo Tributário previsto na Lei nº 1558/2005 (CONDER) que estão obrigados a recolhê-lo.</w:t>
            </w:r>
          </w:p>
        </w:tc>
      </w:tr>
      <w:tr w:rsidR="00EC5411" w:rsidRPr="00EC5411" w14:paraId="6E25EB9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55946D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F784C" w14:textId="6377E9AA"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
          <w:p w14:paraId="6FB705D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ICMS - Incentivada</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85AFA"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7207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Apresenta os valores lançados e pagos do ICMS Devido, bem como o nº da Guia, a data de vencimento e a data de pagamento pelos </w:t>
            </w:r>
            <w:proofErr w:type="spellStart"/>
            <w:r w:rsidRPr="00EC5411">
              <w:rPr>
                <w:rFonts w:eastAsia="Times New Roman" w:cstheme="minorHAnsi"/>
                <w:sz w:val="24"/>
                <w:szCs w:val="24"/>
                <w:lang w:eastAsia="pt-BR"/>
              </w:rPr>
              <w:t>empreendimentos</w:t>
            </w:r>
            <w:proofErr w:type="spellEnd"/>
            <w:r w:rsidRPr="00EC5411">
              <w:rPr>
                <w:rFonts w:eastAsia="Times New Roman" w:cstheme="minorHAnsi"/>
                <w:sz w:val="24"/>
                <w:szCs w:val="24"/>
                <w:lang w:eastAsia="pt-BR"/>
              </w:rPr>
              <w:t xml:space="preserve"> beneficiados pelo Incentivo Tributário previsto na Lei nº 1558/2005 (CONDER).</w:t>
            </w:r>
          </w:p>
        </w:tc>
      </w:tr>
      <w:tr w:rsidR="00EC5411" w:rsidRPr="00EC5411" w14:paraId="59F7A86D"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CC090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b/>
                <w:bCs/>
                <w:sz w:val="24"/>
                <w:szCs w:val="24"/>
                <w:lang w:eastAsia="pt-BR"/>
              </w:rPr>
              <w:t>Acompanhamento da CONSIT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01A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Faturamento Total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12E68"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DF61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Faturamentos Totais dos empreendimentos beneficiados pelo Incentivo Tributário previsto na Lei nº 1558/2005 (CONDER).</w:t>
            </w:r>
          </w:p>
        </w:tc>
      </w:tr>
      <w:tr w:rsidR="00EC5411" w:rsidRPr="00EC5411" w14:paraId="3F0D02D9"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D053B09"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B68F2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Crédito Presumido</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E9E91"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5DA8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Apresenta os Crédito Presumidos utilizados pelos </w:t>
            </w:r>
            <w:proofErr w:type="spellStart"/>
            <w:r w:rsidRPr="00EC5411">
              <w:rPr>
                <w:rFonts w:eastAsia="Times New Roman" w:cstheme="minorHAnsi"/>
                <w:sz w:val="24"/>
                <w:szCs w:val="24"/>
                <w:lang w:eastAsia="pt-BR"/>
              </w:rPr>
              <w:t>empreendimentos</w:t>
            </w:r>
            <w:proofErr w:type="spellEnd"/>
            <w:r w:rsidRPr="00EC5411">
              <w:rPr>
                <w:rFonts w:eastAsia="Times New Roman" w:cstheme="minorHAnsi"/>
                <w:sz w:val="24"/>
                <w:szCs w:val="24"/>
                <w:lang w:eastAsia="pt-BR"/>
              </w:rPr>
              <w:t xml:space="preserve"> beneficiados pelo Incentivo Tributário previsto na Lei nº 1558/2005 (CONDER).</w:t>
            </w:r>
          </w:p>
        </w:tc>
      </w:tr>
      <w:tr w:rsidR="00EC5411" w:rsidRPr="00EC5411" w14:paraId="2FE1A71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331333"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4799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Inadimplentes Fundos (Ativas)</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9B5FA"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7180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empreendimentos beneficiados pelo Incentivo Tributário previsto na Lei nº 1558/2005 (CONDER) que estão com o benefício ativo e que possuem débitos de Fundo vencido e não pago.</w:t>
            </w:r>
          </w:p>
        </w:tc>
      </w:tr>
      <w:tr w:rsidR="00EC5411" w:rsidRPr="00EC5411" w14:paraId="1BAB8A0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D35858"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11D0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Inadimplentes Impostos (Ativas)</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2A514"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3B17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empreendimentos beneficiados pelo Incentivo Tributário previsto na Lei nº 1558/2005 (CONDER) que estão com o benefício ativo e que possuem débitos de ICMS Indústria vencido e não pago.</w:t>
            </w:r>
          </w:p>
        </w:tc>
      </w:tr>
      <w:tr w:rsidR="00EC5411" w:rsidRPr="00EC5411" w14:paraId="3EF3C211"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DB150C"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C3336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Inadimplentes Fundos (Cancelados)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86357"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7E7C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empreendimentos que foram beneficiados pelo Incentivo Tributário previsto na Lei nº 1558/2005 (CONDER), que estão com o benefício cancelado e que possuem débitos vencidos e não pagos.</w:t>
            </w:r>
          </w:p>
        </w:tc>
      </w:tr>
      <w:tr w:rsidR="00EC5411" w:rsidRPr="00EC5411" w14:paraId="6FDB98D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868DAEC"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A353E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Inadimplentes Total (Ativas)</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74372"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6DE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empreendimentos beneficiados pelo Incentivo Tributário previsto na Lei nº 1558/2005 (CONDER) que estão com o benefício ativo e que possuem débitos tanto de Fundo quanto de ICMS Indústria vencidos e não pagos.</w:t>
            </w:r>
          </w:p>
        </w:tc>
      </w:tr>
    </w:tbl>
    <w:p w14:paraId="5684831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34A53536"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 – Fundo de Infraestrutura, Transporte e Habitação;</w:t>
      </w:r>
    </w:p>
    <w:p w14:paraId="40F73321"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 – Conselho de Desenvolvimento do Estado de Rondônia;</w:t>
      </w:r>
    </w:p>
    <w:p w14:paraId="66716303"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3 – Fundo de Desenvolvimento Industrial de Rondônia;</w:t>
      </w:r>
    </w:p>
    <w:p w14:paraId="26F044C1" w14:textId="7BF506DC" w:rsid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4 – Coordenadoria de Incentivo Tributário;</w:t>
      </w:r>
    </w:p>
    <w:p w14:paraId="02152561" w14:textId="77777777" w:rsidR="00EC5411" w:rsidRDefault="00EC5411" w:rsidP="00EC5411">
      <w:pPr>
        <w:spacing w:before="120" w:after="120" w:line="240" w:lineRule="auto"/>
        <w:ind w:left="120" w:right="120"/>
        <w:jc w:val="center"/>
        <w:rPr>
          <w:rFonts w:eastAsia="Times New Roman" w:cstheme="minorHAnsi"/>
          <w:color w:val="000000"/>
          <w:sz w:val="24"/>
          <w:szCs w:val="24"/>
          <w:lang w:eastAsia="pt-BR"/>
        </w:rPr>
      </w:pP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141"/>
        <w:gridCol w:w="1894"/>
        <w:gridCol w:w="1341"/>
        <w:gridCol w:w="2124"/>
      </w:tblGrid>
      <w:tr w:rsidR="00EC5411" w:rsidRPr="00EC5411" w14:paraId="6D054C2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392589" w14:textId="7832EE11"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color w:val="000000"/>
                <w:sz w:val="24"/>
                <w:szCs w:val="24"/>
                <w:lang w:eastAsia="pt-BR"/>
              </w:rPr>
              <w:t> </w:t>
            </w: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F17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9C71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6805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6F946754"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48A014"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4" w:name="_Toc122521739"/>
            <w:r w:rsidRPr="00EC5411">
              <w:rPr>
                <w:rFonts w:eastAsia="Times New Roman" w:cstheme="minorHAnsi"/>
                <w:b/>
                <w:bCs/>
                <w:sz w:val="24"/>
                <w:szCs w:val="24"/>
                <w:lang w:eastAsia="pt-BR"/>
              </w:rPr>
              <w:t>Detalhamento de Guia de Arrecadação</w:t>
            </w:r>
            <w:bookmarkEnd w:id="4"/>
          </w:p>
        </w:tc>
        <w:tc>
          <w:tcPr>
            <w:tcW w:w="0" w:type="auto"/>
            <w:tcBorders>
              <w:top w:val="outset" w:sz="6" w:space="0" w:color="auto"/>
              <w:left w:val="outset" w:sz="6" w:space="0" w:color="auto"/>
              <w:bottom w:val="outset" w:sz="6" w:space="0" w:color="auto"/>
              <w:right w:val="outset" w:sz="6" w:space="0" w:color="auto"/>
            </w:tcBorders>
            <w:vAlign w:val="center"/>
            <w:hideMark/>
          </w:tcPr>
          <w:p w14:paraId="20322CF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Histórico de Redirecionamento de Guia</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37910"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82E4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todo o histórico de redirecionamentos de uma Guia (DARE</w:t>
            </w:r>
            <w:r w:rsidRPr="00EC5411">
              <w:rPr>
                <w:rFonts w:eastAsia="Times New Roman" w:cstheme="minorHAnsi"/>
                <w:sz w:val="24"/>
                <w:szCs w:val="24"/>
                <w:vertAlign w:val="superscript"/>
                <w:lang w:eastAsia="pt-BR"/>
              </w:rPr>
              <w:t>5</w:t>
            </w:r>
            <w:r w:rsidRPr="00EC5411">
              <w:rPr>
                <w:rFonts w:eastAsia="Times New Roman" w:cstheme="minorHAnsi"/>
                <w:sz w:val="24"/>
                <w:szCs w:val="24"/>
                <w:lang w:eastAsia="pt-BR"/>
              </w:rPr>
              <w:t>) até a atual.</w:t>
            </w:r>
          </w:p>
        </w:tc>
      </w:tr>
      <w:tr w:rsidR="00EC5411" w:rsidRPr="00EC5411" w14:paraId="672436F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4D065D"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9F99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Conteúdo de Guia Redirecionada</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436F"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FDAA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a origem de uma guia a partir da guia redirecionada.</w:t>
            </w:r>
          </w:p>
        </w:tc>
      </w:tr>
      <w:tr w:rsidR="00EC5411" w:rsidRPr="00EC5411" w14:paraId="283DD6CB"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5EB7EA"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5" w:name="_Toc122521740"/>
            <w:r w:rsidRPr="00EC5411">
              <w:rPr>
                <w:rFonts w:eastAsia="Times New Roman" w:cstheme="minorHAnsi"/>
                <w:b/>
                <w:bCs/>
                <w:sz w:val="24"/>
                <w:szCs w:val="24"/>
                <w:lang w:eastAsia="pt-BR"/>
              </w:rPr>
              <w:t>GEAR</w:t>
            </w:r>
            <w:r w:rsidRPr="00EC5411">
              <w:rPr>
                <w:rFonts w:eastAsia="Times New Roman" w:cstheme="minorHAnsi"/>
                <w:b/>
                <w:bCs/>
                <w:sz w:val="24"/>
                <w:szCs w:val="24"/>
                <w:vertAlign w:val="superscript"/>
                <w:lang w:eastAsia="pt-BR"/>
              </w:rPr>
              <w:t>6</w:t>
            </w:r>
            <w:r w:rsidRPr="00EC5411">
              <w:rPr>
                <w:rFonts w:eastAsia="Times New Roman" w:cstheme="minorHAnsi"/>
                <w:b/>
                <w:bCs/>
                <w:sz w:val="24"/>
                <w:szCs w:val="24"/>
                <w:lang w:eastAsia="pt-BR"/>
              </w:rPr>
              <w:t> Contribuintes</w:t>
            </w:r>
            <w:bookmarkEnd w:id="5"/>
          </w:p>
        </w:tc>
        <w:tc>
          <w:tcPr>
            <w:tcW w:w="0" w:type="auto"/>
            <w:tcBorders>
              <w:top w:val="outset" w:sz="6" w:space="0" w:color="auto"/>
              <w:left w:val="outset" w:sz="6" w:space="0" w:color="auto"/>
              <w:bottom w:val="outset" w:sz="6" w:space="0" w:color="auto"/>
              <w:right w:val="outset" w:sz="6" w:space="0" w:color="auto"/>
            </w:tcBorders>
            <w:vAlign w:val="center"/>
            <w:hideMark/>
          </w:tcPr>
          <w:p w14:paraId="13C27FB3"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BAE3"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36D8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Fornece a relação de contribuintes do estado por regime de pagamento, por contador, por CNAE</w:t>
            </w:r>
            <w:r w:rsidRPr="00EC5411">
              <w:rPr>
                <w:rFonts w:eastAsia="Times New Roman" w:cstheme="minorHAnsi"/>
                <w:sz w:val="24"/>
                <w:szCs w:val="24"/>
                <w:vertAlign w:val="superscript"/>
                <w:lang w:eastAsia="pt-BR"/>
              </w:rPr>
              <w:t>7</w:t>
            </w:r>
            <w:r w:rsidRPr="00EC5411">
              <w:rPr>
                <w:rFonts w:eastAsia="Times New Roman" w:cstheme="minorHAnsi"/>
                <w:sz w:val="24"/>
                <w:szCs w:val="24"/>
                <w:lang w:eastAsia="pt-BR"/>
              </w:rPr>
              <w:t xml:space="preserve">, entre outras informações qualitativas </w:t>
            </w:r>
            <w:proofErr w:type="gramStart"/>
            <w:r w:rsidRPr="00EC5411">
              <w:rPr>
                <w:rFonts w:eastAsia="Times New Roman" w:cstheme="minorHAnsi"/>
                <w:sz w:val="24"/>
                <w:szCs w:val="24"/>
                <w:lang w:eastAsia="pt-BR"/>
              </w:rPr>
              <w:t>dos mesmos</w:t>
            </w:r>
            <w:proofErr w:type="gramEnd"/>
            <w:r w:rsidRPr="00EC5411">
              <w:rPr>
                <w:rFonts w:eastAsia="Times New Roman" w:cstheme="minorHAnsi"/>
                <w:sz w:val="24"/>
                <w:szCs w:val="24"/>
                <w:lang w:eastAsia="pt-BR"/>
              </w:rPr>
              <w:t>.</w:t>
            </w:r>
          </w:p>
        </w:tc>
      </w:tr>
      <w:tr w:rsidR="00EC5411" w:rsidRPr="00EC5411" w14:paraId="65DE9A25"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660229"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6" w:name="_Toc122521741"/>
            <w:r w:rsidRPr="00EC5411">
              <w:rPr>
                <w:rFonts w:eastAsia="Times New Roman" w:cstheme="minorHAnsi"/>
                <w:b/>
                <w:bCs/>
                <w:sz w:val="24"/>
                <w:szCs w:val="24"/>
                <w:lang w:eastAsia="pt-BR"/>
              </w:rPr>
              <w:t>Inadimplentes Por Fundos</w:t>
            </w:r>
            <w:bookmarkEnd w:id="6"/>
          </w:p>
        </w:tc>
        <w:tc>
          <w:tcPr>
            <w:tcW w:w="0" w:type="auto"/>
            <w:tcBorders>
              <w:top w:val="outset" w:sz="6" w:space="0" w:color="auto"/>
              <w:left w:val="outset" w:sz="6" w:space="0" w:color="auto"/>
              <w:bottom w:val="outset" w:sz="6" w:space="0" w:color="auto"/>
              <w:right w:val="outset" w:sz="6" w:space="0" w:color="auto"/>
            </w:tcBorders>
            <w:vAlign w:val="center"/>
            <w:hideMark/>
          </w:tcPr>
          <w:p w14:paraId="4F6DC59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Análise Sintética</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3FBA"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089A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Esse campo do painel apresenta os </w:t>
            </w:r>
            <w:r w:rsidRPr="00EC5411">
              <w:rPr>
                <w:rFonts w:eastAsia="Times New Roman" w:cstheme="minorHAnsi"/>
                <w:sz w:val="24"/>
                <w:szCs w:val="24"/>
                <w:lang w:eastAsia="pt-BR"/>
              </w:rPr>
              <w:lastRenderedPageBreak/>
              <w:t>empreendimentos beneficiados pelo Incentivo Tributário previsto na Lei nº 1558/2005 (CONDER) que possuem débitos de Fundo vencidos e não pagos.</w:t>
            </w:r>
          </w:p>
        </w:tc>
      </w:tr>
      <w:tr w:rsidR="00EC5411" w:rsidRPr="00EC5411" w14:paraId="51B0F7E2"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7CC77A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6FEF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Análise Analítica</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ED2D"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A879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Esse campo do painel apresenta os empreendimentos beneficiados pelo Incentivo Tributário previsto na Lei nº 1558/2005 (CONDER) que possuem débitos de Fundo vencidos e não pagos destacando nº da Guia, data de vencimento e o valor lançado.</w:t>
            </w:r>
          </w:p>
        </w:tc>
      </w:tr>
      <w:tr w:rsidR="00EC5411" w:rsidRPr="00EC5411" w14:paraId="31B8CBB6"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228A3F"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7" w:name="_Toc122521742"/>
            <w:r w:rsidRPr="00EC5411">
              <w:rPr>
                <w:rFonts w:eastAsia="Times New Roman" w:cstheme="minorHAnsi"/>
                <w:b/>
                <w:bCs/>
                <w:sz w:val="24"/>
                <w:szCs w:val="24"/>
                <w:lang w:eastAsia="pt-BR"/>
              </w:rPr>
              <w:t>Metas Arrecadação</w:t>
            </w:r>
            <w:bookmarkEnd w:id="7"/>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1E510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Visão Geral</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65D1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Visão Geral</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315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Visão geral do comportamento da arrecadação.</w:t>
            </w:r>
          </w:p>
        </w:tc>
      </w:tr>
      <w:tr w:rsidR="00EC5411" w:rsidRPr="00EC5411" w14:paraId="71295CF4"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96BC72E"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C4E3B6"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0993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Expectativa Arrecadação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242C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Previsão de arrecadação para o mês corrente.</w:t>
            </w:r>
          </w:p>
        </w:tc>
      </w:tr>
      <w:tr w:rsidR="00EC5411" w:rsidRPr="00EC5411" w14:paraId="1C610E9B"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DFFC78"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E55CF0"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B38C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Comparativo por Grupo</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D2E9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Compara a arrecadação com o ano anterior por grupo de receita.</w:t>
            </w:r>
          </w:p>
        </w:tc>
      </w:tr>
      <w:tr w:rsidR="00EC5411" w:rsidRPr="00EC5411" w14:paraId="2053D75E"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7A092E"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8" w:name="_Toc122521743"/>
            <w:r w:rsidRPr="00EC5411">
              <w:rPr>
                <w:rFonts w:eastAsia="Times New Roman" w:cstheme="minorHAnsi"/>
                <w:b/>
                <w:bCs/>
                <w:sz w:val="24"/>
                <w:szCs w:val="24"/>
                <w:lang w:eastAsia="pt-BR"/>
              </w:rPr>
              <w:t>Ações Fiscais e Autos de Infração</w:t>
            </w:r>
            <w:bookmarkEnd w:id="8"/>
          </w:p>
        </w:tc>
        <w:tc>
          <w:tcPr>
            <w:tcW w:w="0" w:type="auto"/>
            <w:tcBorders>
              <w:top w:val="outset" w:sz="6" w:space="0" w:color="auto"/>
              <w:left w:val="outset" w:sz="6" w:space="0" w:color="auto"/>
              <w:bottom w:val="outset" w:sz="6" w:space="0" w:color="auto"/>
              <w:right w:val="outset" w:sz="6" w:space="0" w:color="auto"/>
            </w:tcBorders>
            <w:vAlign w:val="center"/>
            <w:hideMark/>
          </w:tcPr>
          <w:p w14:paraId="2EBEFE6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1B2D1"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5E52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principais KPIs</w:t>
            </w:r>
            <w:r w:rsidRPr="00EC5411">
              <w:rPr>
                <w:rFonts w:eastAsia="Times New Roman" w:cstheme="minorHAnsi"/>
                <w:sz w:val="24"/>
                <w:szCs w:val="24"/>
                <w:vertAlign w:val="superscript"/>
                <w:lang w:eastAsia="pt-BR"/>
              </w:rPr>
              <w:t>8</w:t>
            </w:r>
            <w:r w:rsidRPr="00EC5411">
              <w:rPr>
                <w:rFonts w:eastAsia="Times New Roman" w:cstheme="minorHAnsi"/>
                <w:sz w:val="24"/>
                <w:szCs w:val="24"/>
                <w:lang w:eastAsia="pt-BR"/>
              </w:rPr>
              <w:t> para monitoramento das designações fiscais e sua execução, como estoque das ações e ocorrências.</w:t>
            </w:r>
          </w:p>
        </w:tc>
      </w:tr>
      <w:tr w:rsidR="00EC5411" w:rsidRPr="00EC5411" w14:paraId="3D260820"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B79E35A"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3C1F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Ações Fiscais</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265B"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A5F4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Apresenta a listagem das ações fiscais e principais informações com a situação </w:t>
            </w:r>
            <w:proofErr w:type="gramStart"/>
            <w:r w:rsidRPr="00EC5411">
              <w:rPr>
                <w:rFonts w:eastAsia="Times New Roman" w:cstheme="minorHAnsi"/>
                <w:sz w:val="24"/>
                <w:szCs w:val="24"/>
                <w:lang w:eastAsia="pt-BR"/>
              </w:rPr>
              <w:t>das mesmas</w:t>
            </w:r>
            <w:proofErr w:type="gramEnd"/>
            <w:r w:rsidRPr="00EC5411">
              <w:rPr>
                <w:rFonts w:eastAsia="Times New Roman" w:cstheme="minorHAnsi"/>
                <w:sz w:val="24"/>
                <w:szCs w:val="24"/>
                <w:lang w:eastAsia="pt-BR"/>
              </w:rPr>
              <w:t>.</w:t>
            </w:r>
          </w:p>
        </w:tc>
      </w:tr>
      <w:tr w:rsidR="00EC5411" w:rsidRPr="00EC5411" w14:paraId="28560F85"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128B9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2032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Autos De Infração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231E"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301B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Apresenta os autos de infração lavrados pela secretaria com as principais </w:t>
            </w:r>
            <w:r w:rsidRPr="00EC5411">
              <w:rPr>
                <w:rFonts w:eastAsia="Times New Roman" w:cstheme="minorHAnsi"/>
                <w:sz w:val="24"/>
                <w:szCs w:val="24"/>
                <w:lang w:eastAsia="pt-BR"/>
              </w:rPr>
              <w:lastRenderedPageBreak/>
              <w:t>informações e o estado da auditoria.</w:t>
            </w:r>
          </w:p>
        </w:tc>
      </w:tr>
      <w:tr w:rsidR="00EC5411" w:rsidRPr="00EC5411" w14:paraId="41A5F312"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9E17B8"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0B36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Cadastro De Usuários</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E594C"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46FE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Criado para apresentar as informações existentes no cadastro de usuários do SITAFE</w:t>
            </w:r>
            <w:r w:rsidRPr="00EC5411">
              <w:rPr>
                <w:rFonts w:eastAsia="Times New Roman" w:cstheme="minorHAnsi"/>
                <w:sz w:val="24"/>
                <w:szCs w:val="24"/>
                <w:vertAlign w:val="superscript"/>
                <w:lang w:eastAsia="pt-BR"/>
              </w:rPr>
              <w:t>9 </w:t>
            </w:r>
            <w:r w:rsidRPr="00EC5411">
              <w:rPr>
                <w:rFonts w:eastAsia="Times New Roman" w:cstheme="minorHAnsi"/>
                <w:sz w:val="24"/>
                <w:szCs w:val="24"/>
                <w:lang w:eastAsia="pt-BR"/>
              </w:rPr>
              <w:t>e permitir que seja saneado para alimentar as demais estatísticas por Delegacia.</w:t>
            </w:r>
          </w:p>
        </w:tc>
      </w:tr>
    </w:tbl>
    <w:p w14:paraId="166AC093"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186A8260"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5 – Documento de Arrecadação de Receitas Estaduais;</w:t>
      </w:r>
    </w:p>
    <w:p w14:paraId="49184E7A"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6 – Gerência de Arrecadação;</w:t>
      </w:r>
    </w:p>
    <w:p w14:paraId="4487819A"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7 – Classificação Nacional de Atividades Econômicas;</w:t>
      </w:r>
    </w:p>
    <w:p w14:paraId="1D83BE46"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8 – Key Performance Indicator (Indicadores Chave de Desempenho);</w:t>
      </w:r>
    </w:p>
    <w:p w14:paraId="62274849"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9 – Sistema Integrado de Tributação e Arrecadação Fiscal para Estados;</w:t>
      </w:r>
    </w:p>
    <w:p w14:paraId="180D15F4"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90FE7AA"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172"/>
        <w:gridCol w:w="1346"/>
        <w:gridCol w:w="1731"/>
        <w:gridCol w:w="3251"/>
      </w:tblGrid>
      <w:tr w:rsidR="00EC5411" w:rsidRPr="00EC5411" w14:paraId="26C074E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373D2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A7B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8CC1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A1FB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3527FFC5"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5149DC"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9" w:name="_Toc122521744"/>
            <w:r w:rsidRPr="00EC5411">
              <w:rPr>
                <w:rFonts w:eastAsia="Times New Roman" w:cstheme="minorHAnsi"/>
                <w:b/>
                <w:bCs/>
                <w:sz w:val="24"/>
                <w:szCs w:val="24"/>
                <w:lang w:eastAsia="pt-BR"/>
              </w:rPr>
              <w:t>Painel Delegacias</w:t>
            </w:r>
            <w:bookmarkEnd w:id="9"/>
          </w:p>
        </w:tc>
        <w:tc>
          <w:tcPr>
            <w:tcW w:w="0" w:type="auto"/>
            <w:tcBorders>
              <w:top w:val="outset" w:sz="6" w:space="0" w:color="auto"/>
              <w:left w:val="outset" w:sz="6" w:space="0" w:color="auto"/>
              <w:bottom w:val="outset" w:sz="6" w:space="0" w:color="auto"/>
              <w:right w:val="outset" w:sz="6" w:space="0" w:color="auto"/>
            </w:tcBorders>
            <w:vAlign w:val="center"/>
            <w:hideMark/>
          </w:tcPr>
          <w:p w14:paraId="098B608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Evolução Arrecadação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1F7B3"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868C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Parâmetros da análise, RESULTADO.</w:t>
            </w:r>
          </w:p>
        </w:tc>
      </w:tr>
      <w:tr w:rsidR="00EC5411" w:rsidRPr="00EC5411" w14:paraId="5B002C9D"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8BF6DD"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8A755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Análises</w:t>
            </w:r>
          </w:p>
          <w:p w14:paraId="48C5855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w:t>
            </w:r>
          </w:p>
          <w:p w14:paraId="5C9A486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88EC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Liquidação com Crédito</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4FB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Identifica empresas que estejam realizando Liquidação de débitos fora da conta gráfica com crédito fiscal e compara com dados da EFD</w:t>
            </w:r>
            <w:r w:rsidRPr="00EC5411">
              <w:rPr>
                <w:rFonts w:eastAsia="Times New Roman" w:cstheme="minorHAnsi"/>
                <w:sz w:val="24"/>
                <w:szCs w:val="24"/>
                <w:vertAlign w:val="superscript"/>
                <w:lang w:eastAsia="pt-BR"/>
              </w:rPr>
              <w:t>10</w:t>
            </w:r>
            <w:r w:rsidRPr="00EC5411">
              <w:rPr>
                <w:rFonts w:eastAsia="Times New Roman" w:cstheme="minorHAnsi"/>
                <w:sz w:val="24"/>
                <w:szCs w:val="24"/>
                <w:lang w:eastAsia="pt-BR"/>
              </w:rPr>
              <w:t> e NF-e</w:t>
            </w:r>
            <w:r w:rsidRPr="00EC5411">
              <w:rPr>
                <w:rFonts w:eastAsia="Times New Roman" w:cstheme="minorHAnsi"/>
                <w:sz w:val="24"/>
                <w:szCs w:val="24"/>
                <w:vertAlign w:val="superscript"/>
                <w:lang w:eastAsia="pt-BR"/>
              </w:rPr>
              <w:t>11</w:t>
            </w:r>
            <w:r w:rsidRPr="00EC5411">
              <w:rPr>
                <w:rFonts w:eastAsia="Times New Roman" w:cstheme="minorHAnsi"/>
                <w:sz w:val="24"/>
                <w:szCs w:val="24"/>
                <w:lang w:eastAsia="pt-BR"/>
              </w:rPr>
              <w:t>.</w:t>
            </w:r>
          </w:p>
        </w:tc>
      </w:tr>
      <w:tr w:rsidR="00EC5411" w:rsidRPr="00EC5411" w14:paraId="7F65D0E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BC71DB"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68AAD6"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EAA2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MEI</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C4C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roofErr w:type="spellStart"/>
            <w:r w:rsidRPr="00EC5411">
              <w:rPr>
                <w:rFonts w:eastAsia="Times New Roman" w:cstheme="minorHAnsi"/>
                <w:sz w:val="24"/>
                <w:szCs w:val="24"/>
                <w:lang w:eastAsia="pt-BR"/>
              </w:rPr>
              <w:t>NF-es</w:t>
            </w:r>
            <w:proofErr w:type="spellEnd"/>
            <w:r w:rsidRPr="00EC5411">
              <w:rPr>
                <w:rFonts w:eastAsia="Times New Roman" w:cstheme="minorHAnsi"/>
                <w:sz w:val="24"/>
                <w:szCs w:val="24"/>
                <w:lang w:eastAsia="pt-BR"/>
              </w:rPr>
              <w:t xml:space="preserve"> destinadas a contribuintes MEI.</w:t>
            </w:r>
          </w:p>
        </w:tc>
      </w:tr>
      <w:tr w:rsidR="00EC5411" w:rsidRPr="00EC5411" w14:paraId="17E81C09"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0B9E30"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C04584"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7CDF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Pessoa Física</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6661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roofErr w:type="spellStart"/>
            <w:r w:rsidRPr="00EC5411">
              <w:rPr>
                <w:rFonts w:eastAsia="Times New Roman" w:cstheme="minorHAnsi"/>
                <w:sz w:val="24"/>
                <w:szCs w:val="24"/>
                <w:lang w:eastAsia="pt-BR"/>
              </w:rPr>
              <w:t>Nf-es</w:t>
            </w:r>
            <w:proofErr w:type="spellEnd"/>
            <w:r w:rsidRPr="00EC5411">
              <w:rPr>
                <w:rFonts w:eastAsia="Times New Roman" w:cstheme="minorHAnsi"/>
                <w:sz w:val="24"/>
                <w:szCs w:val="24"/>
                <w:lang w:eastAsia="pt-BR"/>
              </w:rPr>
              <w:t xml:space="preserve"> destinadas a pessoas físicas.</w:t>
            </w:r>
          </w:p>
        </w:tc>
      </w:tr>
      <w:tr w:rsidR="00EC5411" w:rsidRPr="00EC5411" w14:paraId="136AFAF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88536C"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F51B06"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A5EE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Maiores Créditos Acumulados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8178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Maiores créditos acumulados.</w:t>
            </w:r>
          </w:p>
        </w:tc>
      </w:tr>
      <w:tr w:rsidR="00EC5411" w:rsidRPr="00EC5411" w14:paraId="7C70CB2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2BCC8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51F9E2"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EC3EB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NF-e de Valores Elevados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E2C9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roofErr w:type="spellStart"/>
            <w:r w:rsidRPr="00EC5411">
              <w:rPr>
                <w:rFonts w:eastAsia="Times New Roman" w:cstheme="minorHAnsi"/>
                <w:sz w:val="24"/>
                <w:szCs w:val="24"/>
                <w:lang w:eastAsia="pt-BR"/>
              </w:rPr>
              <w:t>NF-es</w:t>
            </w:r>
            <w:proofErr w:type="spellEnd"/>
            <w:r w:rsidRPr="00EC5411">
              <w:rPr>
                <w:rFonts w:eastAsia="Times New Roman" w:cstheme="minorHAnsi"/>
                <w:sz w:val="24"/>
                <w:szCs w:val="24"/>
                <w:lang w:eastAsia="pt-BR"/>
              </w:rPr>
              <w:t xml:space="preserve"> emitidas com valores elevados.</w:t>
            </w:r>
          </w:p>
        </w:tc>
      </w:tr>
      <w:tr w:rsidR="00EC5411" w:rsidRPr="00EC5411" w14:paraId="7ABF51F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2FA484"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4C718B8"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C309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NF-e com Quantidades Elevadas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12AA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proofErr w:type="spellStart"/>
            <w:r w:rsidRPr="00EC5411">
              <w:rPr>
                <w:rFonts w:eastAsia="Times New Roman" w:cstheme="minorHAnsi"/>
                <w:sz w:val="24"/>
                <w:szCs w:val="24"/>
                <w:lang w:eastAsia="pt-BR"/>
              </w:rPr>
              <w:t>NF-es</w:t>
            </w:r>
            <w:proofErr w:type="spellEnd"/>
            <w:r w:rsidRPr="00EC5411">
              <w:rPr>
                <w:rFonts w:eastAsia="Times New Roman" w:cstheme="minorHAnsi"/>
                <w:sz w:val="24"/>
                <w:szCs w:val="24"/>
                <w:lang w:eastAsia="pt-BR"/>
              </w:rPr>
              <w:t xml:space="preserve"> emitidas em quantidades elevadas.</w:t>
            </w:r>
          </w:p>
        </w:tc>
      </w:tr>
      <w:tr w:rsidR="00EC5411" w:rsidRPr="00EC5411" w14:paraId="02D1021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8B85B35"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8FB813"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95971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Novos Cadastros</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2B75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Parâmetros da análise.</w:t>
            </w:r>
          </w:p>
        </w:tc>
      </w:tr>
      <w:tr w:rsidR="00EC5411" w:rsidRPr="00EC5411" w14:paraId="07F6E4A6"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749F2A4"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EE3F97"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A75A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NF-e/NFC-e</w:t>
            </w:r>
            <w:r w:rsidRPr="00EC5411">
              <w:rPr>
                <w:rFonts w:eastAsia="Times New Roman" w:cstheme="minorHAnsi"/>
                <w:sz w:val="24"/>
                <w:szCs w:val="24"/>
                <w:vertAlign w:val="superscript"/>
                <w:lang w:eastAsia="pt-BR"/>
              </w:rPr>
              <w:t>12</w:t>
            </w:r>
            <w:r w:rsidRPr="00EC5411">
              <w:rPr>
                <w:rFonts w:eastAsia="Times New Roman" w:cstheme="minorHAnsi"/>
                <w:sz w:val="24"/>
                <w:szCs w:val="24"/>
                <w:lang w:eastAsia="pt-BR"/>
              </w:rPr>
              <w:t> x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11DF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Comparativo do ICMS destacado nas NF-e/NFC-e com declarado na EFD.</w:t>
            </w:r>
          </w:p>
        </w:tc>
      </w:tr>
      <w:tr w:rsidR="00EC5411" w:rsidRPr="00EC5411" w14:paraId="4ABD15A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5AE6C7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83DD3F"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B8B1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De Grãos</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3172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 tem por objetivo identificar os contribuintes que efetuaram operações com grãos (arroz, café, feijão, milho e soja – exceto para semeadura) e não recolheram o ICMS antecipadamente nos seus códigos de receita específicos, nos termos da legislação. São apresentadas as saídas efetuadas destes produtos desde o dia primeiro do 3º mês antecedente ao atual referente os itens selecionados e que não tenha sido identificado o pagamento integral do débito de ICMS destacado.</w:t>
            </w:r>
          </w:p>
        </w:tc>
      </w:tr>
    </w:tbl>
    <w:p w14:paraId="52F48E9E"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B103345" w14:textId="77777777" w:rsidR="00EC5411" w:rsidRPr="00EC5411" w:rsidRDefault="00EC5411" w:rsidP="00EC5411">
      <w:pPr>
        <w:spacing w:after="165"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10 – Escrituração Fiscal Digital;</w:t>
      </w:r>
    </w:p>
    <w:p w14:paraId="078B98D0"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11 – Nota Fiscal Eletrônica;</w:t>
      </w:r>
    </w:p>
    <w:p w14:paraId="117226A0"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12 – Nota Fiscal do Consumidor Eletrônica</w:t>
      </w:r>
    </w:p>
    <w:p w14:paraId="63409167"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139"/>
        <w:gridCol w:w="2121"/>
        <w:gridCol w:w="1032"/>
        <w:gridCol w:w="3208"/>
      </w:tblGrid>
      <w:tr w:rsidR="00EC5411" w:rsidRPr="00EC5411" w14:paraId="03C0684C"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170EF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6A8F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D209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8FDE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13B25ADA"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6DF0FF"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0" w:name="_Toc122521745"/>
            <w:r w:rsidRPr="00EC5411">
              <w:rPr>
                <w:rFonts w:eastAsia="Times New Roman" w:cstheme="minorHAnsi"/>
                <w:b/>
                <w:bCs/>
                <w:sz w:val="24"/>
                <w:szCs w:val="24"/>
                <w:lang w:eastAsia="pt-BR"/>
              </w:rPr>
              <w:t>Painel do Simples Nacional</w:t>
            </w:r>
            <w:bookmarkEnd w:id="10"/>
          </w:p>
        </w:tc>
        <w:tc>
          <w:tcPr>
            <w:tcW w:w="0" w:type="auto"/>
            <w:tcBorders>
              <w:top w:val="outset" w:sz="6" w:space="0" w:color="auto"/>
              <w:left w:val="outset" w:sz="6" w:space="0" w:color="auto"/>
              <w:bottom w:val="outset" w:sz="6" w:space="0" w:color="auto"/>
              <w:right w:val="outset" w:sz="6" w:space="0" w:color="auto"/>
            </w:tcBorders>
            <w:vAlign w:val="center"/>
            <w:hideMark/>
          </w:tcPr>
          <w:p w14:paraId="1FC321C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Desenquadramento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2CF05"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A77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São realizadas as análises de desenquadramento e exclusão do Simples Nacional por faturamento utilizando-se da </w:t>
            </w:r>
            <w:proofErr w:type="spellStart"/>
            <w:r w:rsidRPr="00EC5411">
              <w:rPr>
                <w:rFonts w:eastAsia="Times New Roman" w:cstheme="minorHAnsi"/>
                <w:sz w:val="24"/>
                <w:szCs w:val="24"/>
                <w:lang w:eastAsia="pt-BR"/>
              </w:rPr>
              <w:t>Nf-e</w:t>
            </w:r>
            <w:proofErr w:type="spellEnd"/>
            <w:r w:rsidRPr="00EC5411">
              <w:rPr>
                <w:rFonts w:eastAsia="Times New Roman" w:cstheme="minorHAnsi"/>
                <w:sz w:val="24"/>
                <w:szCs w:val="24"/>
                <w:lang w:eastAsia="pt-BR"/>
              </w:rPr>
              <w:t>, NFC-e e PGDAS-D</w:t>
            </w:r>
            <w:r w:rsidRPr="00EC5411">
              <w:rPr>
                <w:rFonts w:eastAsia="Times New Roman" w:cstheme="minorHAnsi"/>
                <w:sz w:val="24"/>
                <w:szCs w:val="24"/>
                <w:vertAlign w:val="superscript"/>
                <w:lang w:eastAsia="pt-BR"/>
              </w:rPr>
              <w:t>13</w:t>
            </w:r>
            <w:r w:rsidRPr="00EC5411">
              <w:rPr>
                <w:rFonts w:eastAsia="Times New Roman" w:cstheme="minorHAnsi"/>
                <w:sz w:val="24"/>
                <w:szCs w:val="24"/>
                <w:lang w:eastAsia="pt-BR"/>
              </w:rPr>
              <w:t>.</w:t>
            </w:r>
          </w:p>
        </w:tc>
      </w:tr>
      <w:tr w:rsidR="00EC5411" w:rsidRPr="00EC5411" w14:paraId="51DF438A"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541B03"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D165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Inadimplência</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B4D6"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F2AF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Mostra os débitos dos contribuintes do Simples Nacional.</w:t>
            </w:r>
          </w:p>
        </w:tc>
      </w:tr>
      <w:tr w:rsidR="00EC5411" w:rsidRPr="00EC5411" w14:paraId="5FB015C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2EEA82"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7743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Faturamento Por Contribuinte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2268A"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D5DB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Traz a análise do faturamento individual dos contribuintes levando-se em consideração as especificidades em relação ao CFOP</w:t>
            </w:r>
            <w:r w:rsidRPr="00EC5411">
              <w:rPr>
                <w:rFonts w:eastAsia="Times New Roman" w:cstheme="minorHAnsi"/>
                <w:sz w:val="24"/>
                <w:szCs w:val="24"/>
                <w:vertAlign w:val="superscript"/>
                <w:lang w:eastAsia="pt-BR"/>
              </w:rPr>
              <w:t>14</w:t>
            </w:r>
            <w:r w:rsidRPr="00EC5411">
              <w:rPr>
                <w:rFonts w:eastAsia="Times New Roman" w:cstheme="minorHAnsi"/>
                <w:sz w:val="24"/>
                <w:szCs w:val="24"/>
                <w:lang w:eastAsia="pt-BR"/>
              </w:rPr>
              <w:t>.</w:t>
            </w:r>
          </w:p>
        </w:tc>
      </w:tr>
      <w:tr w:rsidR="00EC5411" w:rsidRPr="00EC5411" w14:paraId="76C8D9A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417D1F"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69B65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Planilha - CFOP</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554FE"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A5F5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Demonstra a classificação dos </w:t>
            </w:r>
            <w:proofErr w:type="spellStart"/>
            <w:r w:rsidRPr="00EC5411">
              <w:rPr>
                <w:rFonts w:eastAsia="Times New Roman" w:cstheme="minorHAnsi"/>
                <w:sz w:val="24"/>
                <w:szCs w:val="24"/>
                <w:lang w:eastAsia="pt-BR"/>
              </w:rPr>
              <w:t>CFOPs</w:t>
            </w:r>
            <w:proofErr w:type="spellEnd"/>
            <w:r w:rsidRPr="00EC5411">
              <w:rPr>
                <w:rFonts w:eastAsia="Times New Roman" w:cstheme="minorHAnsi"/>
                <w:sz w:val="24"/>
                <w:szCs w:val="24"/>
                <w:lang w:eastAsia="pt-BR"/>
              </w:rPr>
              <w:t xml:space="preserve"> utilizada no painel para análises relativas ao faturamento.</w:t>
            </w:r>
          </w:p>
        </w:tc>
      </w:tr>
      <w:tr w:rsidR="00EC5411" w:rsidRPr="00EC5411" w14:paraId="09F87AA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253EE30"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E5523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PGDASD</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023AE"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5B54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Traz a informação existente no banco de dados relativa </w:t>
            </w:r>
            <w:proofErr w:type="gramStart"/>
            <w:r w:rsidRPr="00EC5411">
              <w:rPr>
                <w:rFonts w:eastAsia="Times New Roman" w:cstheme="minorHAnsi"/>
                <w:sz w:val="24"/>
                <w:szCs w:val="24"/>
                <w:lang w:eastAsia="pt-BR"/>
              </w:rPr>
              <w:t>a</w:t>
            </w:r>
            <w:proofErr w:type="gramEnd"/>
            <w:r w:rsidRPr="00EC5411">
              <w:rPr>
                <w:rFonts w:eastAsia="Times New Roman" w:cstheme="minorHAnsi"/>
                <w:sz w:val="24"/>
                <w:szCs w:val="24"/>
                <w:lang w:eastAsia="pt-BR"/>
              </w:rPr>
              <w:t xml:space="preserve"> receita bruta constantes no PGDAS-D.</w:t>
            </w:r>
          </w:p>
        </w:tc>
      </w:tr>
      <w:tr w:rsidR="00EC5411" w:rsidRPr="00EC5411" w14:paraId="2240410B"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8616F0"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1" w:name="_Toc122521746"/>
            <w:r w:rsidRPr="00EC5411">
              <w:rPr>
                <w:rFonts w:eastAsia="Times New Roman" w:cstheme="minorHAnsi"/>
                <w:b/>
                <w:bCs/>
                <w:sz w:val="24"/>
                <w:szCs w:val="24"/>
                <w:lang w:eastAsia="pt-BR"/>
              </w:rPr>
              <w:t>Painel GEAR</w:t>
            </w:r>
            <w:bookmarkEnd w:id="11"/>
          </w:p>
        </w:tc>
        <w:tc>
          <w:tcPr>
            <w:tcW w:w="0" w:type="auto"/>
            <w:tcBorders>
              <w:top w:val="outset" w:sz="6" w:space="0" w:color="auto"/>
              <w:left w:val="outset" w:sz="6" w:space="0" w:color="auto"/>
              <w:bottom w:val="outset" w:sz="6" w:space="0" w:color="auto"/>
              <w:right w:val="outset" w:sz="6" w:space="0" w:color="auto"/>
            </w:tcBorders>
            <w:vAlign w:val="center"/>
            <w:hideMark/>
          </w:tcPr>
          <w:p w14:paraId="5F2AA67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Empresas Novas</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F72F"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47D8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Realizar o monitoramento de empresas abertas recentemente.</w:t>
            </w:r>
          </w:p>
        </w:tc>
      </w:tr>
      <w:tr w:rsidR="00EC5411" w:rsidRPr="00EC5411" w14:paraId="2FA4857C"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0C18CB"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FD66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Lançamentos Vencidos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0D8CE"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A10D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Detalha os lançamentos vencidos e não pagos.</w:t>
            </w:r>
          </w:p>
        </w:tc>
      </w:tr>
    </w:tbl>
    <w:p w14:paraId="55A1B22C"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373D30CE"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1861B1D"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13 – Programa Gerador do Documento de Arrecadação do Simples Nacional – Declaratório;</w:t>
      </w:r>
    </w:p>
    <w:p w14:paraId="50CAFDED"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14 – Código Fiscal de Operação e Prestação;</w:t>
      </w:r>
    </w:p>
    <w:p w14:paraId="167C5780"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52"/>
        <w:gridCol w:w="1693"/>
        <w:gridCol w:w="1604"/>
        <w:gridCol w:w="2851"/>
      </w:tblGrid>
      <w:tr w:rsidR="00EC5411" w:rsidRPr="00EC5411" w14:paraId="19E9A38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357A4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0D92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75B1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EB53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12C609A2"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32D7D2"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2" w:name="_Toc122521747"/>
            <w:r w:rsidRPr="00EC5411">
              <w:rPr>
                <w:rFonts w:eastAsia="Times New Roman" w:cstheme="minorHAnsi"/>
                <w:b/>
                <w:bCs/>
                <w:sz w:val="24"/>
                <w:szCs w:val="24"/>
                <w:lang w:eastAsia="pt-BR"/>
              </w:rPr>
              <w:t>Painel Notificação</w:t>
            </w:r>
            <w:bookmarkEnd w:id="12"/>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8E571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Notificação – DET</w:t>
            </w:r>
            <w:r w:rsidRPr="00EC5411">
              <w:rPr>
                <w:rFonts w:eastAsia="Times New Roman" w:cstheme="minorHAnsi"/>
                <w:sz w:val="24"/>
                <w:szCs w:val="24"/>
                <w:vertAlign w:val="superscript"/>
                <w:lang w:eastAsia="pt-BR"/>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042A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Indicadores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AFCE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principais KPIs para monitoramento das notificações geradas pelo DET e seu estado.</w:t>
            </w:r>
          </w:p>
        </w:tc>
      </w:tr>
      <w:tr w:rsidR="00EC5411" w:rsidRPr="00EC5411" w14:paraId="287A559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26C572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586210"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6D30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Notificações - DET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B8B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Detalhamento das notificações geradas pelo DET e seu estado.</w:t>
            </w:r>
          </w:p>
        </w:tc>
      </w:tr>
      <w:tr w:rsidR="00EC5411" w:rsidRPr="00EC5411" w14:paraId="177D89C4"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336204"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442890"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518E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Rastreamento de Resultado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9CBD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Detalhamento das notificações geradas pelo DET e seu estado referente a malhas fiscais por período e expectativa de crédito.</w:t>
            </w:r>
          </w:p>
        </w:tc>
      </w:tr>
      <w:tr w:rsidR="00EC5411" w:rsidRPr="00EC5411" w14:paraId="4D47D3ED"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1AE072"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2150C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Notificações - FISCONFORME</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BFB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Notificações - FISCONFORME</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E09B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os principais KPIs para monitoramento das notificações geradas pelo FISCONFORME e seu estado.</w:t>
            </w:r>
          </w:p>
        </w:tc>
      </w:tr>
      <w:tr w:rsidR="00EC5411" w:rsidRPr="00EC5411" w14:paraId="01B76844"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799FD25"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914A4F"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C98A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Notificações</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A3F3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Detalhamento das notificações geradas pelo FISCONFORME e seu estado.</w:t>
            </w:r>
          </w:p>
        </w:tc>
      </w:tr>
      <w:tr w:rsidR="00EC5411" w:rsidRPr="00EC5411" w14:paraId="6EB72900"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42798EB"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2273A0"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A7C1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Malha 10080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77CA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Detalhamento das notificações da Malha 10080 a nível de documento.</w:t>
            </w:r>
          </w:p>
        </w:tc>
      </w:tr>
      <w:tr w:rsidR="00EC5411" w:rsidRPr="00EC5411" w14:paraId="55BBF691"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ACE6A1"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186B42"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7825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Malha 10120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11D3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Detalhamento das notificações da Malha 10120 a nível de documento.</w:t>
            </w:r>
          </w:p>
        </w:tc>
      </w:tr>
      <w:tr w:rsidR="00EC5411" w:rsidRPr="00EC5411" w14:paraId="4FE717B2"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6EEFC1C"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4A731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Análises Notificações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D5C8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Consulta NF-e Emitidas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3322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Informações para suporte às análises de notificações do FISCONFORME.</w:t>
            </w:r>
          </w:p>
        </w:tc>
      </w:tr>
      <w:tr w:rsidR="00EC5411" w:rsidRPr="00EC5411" w14:paraId="1489072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F84DD4E"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2AEAC7"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DAE6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Consulta NF-e por Tributação do Simples Nacional</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99F8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Apresentar a classificação adotada no FISCONFORME em relação a tributação do Simples Nacional.</w:t>
            </w:r>
          </w:p>
        </w:tc>
      </w:tr>
      <w:tr w:rsidR="00EC5411" w:rsidRPr="00EC5411" w14:paraId="503AA7E3"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E37313"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3" w:name="_Toc122521748"/>
            <w:r w:rsidRPr="00EC5411">
              <w:rPr>
                <w:rFonts w:eastAsia="Times New Roman" w:cstheme="minorHAnsi"/>
                <w:b/>
                <w:bCs/>
                <w:sz w:val="24"/>
                <w:szCs w:val="24"/>
                <w:lang w:eastAsia="pt-BR"/>
              </w:rPr>
              <w:t>Painel Substituição Tributária</w:t>
            </w:r>
            <w:bookmarkEnd w:id="13"/>
          </w:p>
        </w:tc>
        <w:tc>
          <w:tcPr>
            <w:tcW w:w="0" w:type="auto"/>
            <w:tcBorders>
              <w:top w:val="outset" w:sz="6" w:space="0" w:color="auto"/>
              <w:left w:val="outset" w:sz="6" w:space="0" w:color="auto"/>
              <w:bottom w:val="outset" w:sz="6" w:space="0" w:color="auto"/>
              <w:right w:val="outset" w:sz="6" w:space="0" w:color="auto"/>
            </w:tcBorders>
            <w:vAlign w:val="center"/>
            <w:hideMark/>
          </w:tcPr>
          <w:p w14:paraId="1BC283E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Substitutos Tributários</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2E1C"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AA2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Controle do ICMS-ST, ICMS-DIFAL</w:t>
            </w:r>
            <w:r w:rsidRPr="00EC5411">
              <w:rPr>
                <w:rFonts w:eastAsia="Times New Roman" w:cstheme="minorHAnsi"/>
                <w:sz w:val="24"/>
                <w:szCs w:val="24"/>
                <w:vertAlign w:val="superscript"/>
                <w:lang w:eastAsia="pt-BR"/>
              </w:rPr>
              <w:t>16</w:t>
            </w:r>
            <w:r w:rsidRPr="00EC5411">
              <w:rPr>
                <w:rFonts w:eastAsia="Times New Roman" w:cstheme="minorHAnsi"/>
                <w:sz w:val="24"/>
                <w:szCs w:val="24"/>
                <w:lang w:eastAsia="pt-BR"/>
              </w:rPr>
              <w:t> e FECOEP</w:t>
            </w:r>
            <w:r w:rsidRPr="00EC5411">
              <w:rPr>
                <w:rFonts w:eastAsia="Times New Roman" w:cstheme="minorHAnsi"/>
                <w:sz w:val="24"/>
                <w:szCs w:val="24"/>
                <w:vertAlign w:val="superscript"/>
                <w:lang w:eastAsia="pt-BR"/>
              </w:rPr>
              <w:t>17</w:t>
            </w:r>
            <w:r w:rsidRPr="00EC5411">
              <w:rPr>
                <w:rFonts w:eastAsia="Times New Roman" w:cstheme="minorHAnsi"/>
                <w:sz w:val="24"/>
                <w:szCs w:val="24"/>
                <w:lang w:eastAsia="pt-BR"/>
              </w:rPr>
              <w:t xml:space="preserve"> declarados pelos </w:t>
            </w:r>
            <w:r w:rsidRPr="00EC5411">
              <w:rPr>
                <w:rFonts w:eastAsia="Times New Roman" w:cstheme="minorHAnsi"/>
                <w:sz w:val="24"/>
                <w:szCs w:val="24"/>
                <w:lang w:eastAsia="pt-BR"/>
              </w:rPr>
              <w:lastRenderedPageBreak/>
              <w:t>contribuintes substitutos tributários. Controle do ICMS-DIFAL e FECOEP de não contribuintes. Controle dos Substitutos detentores do regime especial "porta a porta". Não são controlados por esse painel os substitutos tributários de combustíveis, energia elétrica e telecomunicações.</w:t>
            </w:r>
          </w:p>
        </w:tc>
      </w:tr>
      <w:tr w:rsidR="00EC5411" w:rsidRPr="00EC5411" w14:paraId="1D068D5B"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5478EFF"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45BD2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Monitoramento por Receitas ST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760F4"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694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Controle do recolhimento por receitas da substituição tributária.</w:t>
            </w:r>
          </w:p>
        </w:tc>
      </w:tr>
    </w:tbl>
    <w:p w14:paraId="1F699741"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30DC5F1F"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15 – Domicílio Eletrônico Tributário;</w:t>
      </w:r>
    </w:p>
    <w:p w14:paraId="1139FF2F"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16 – Diferencial de Alíquotas;</w:t>
      </w:r>
    </w:p>
    <w:p w14:paraId="7699438D" w14:textId="58B7D8F7" w:rsid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17 – Fundo Estadual de Combate e Erradicação da Pobreza;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23"/>
        <w:gridCol w:w="1928"/>
        <w:gridCol w:w="1332"/>
        <w:gridCol w:w="2517"/>
      </w:tblGrid>
      <w:tr w:rsidR="00EC5411" w:rsidRPr="00EC5411" w14:paraId="70C9705E"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C15E5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D6C5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2817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D00E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6E57204A"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E8B20B"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4" w:name="_Toc122521749"/>
            <w:r w:rsidRPr="00EC5411">
              <w:rPr>
                <w:rFonts w:eastAsia="Times New Roman" w:cstheme="minorHAnsi"/>
                <w:b/>
                <w:bCs/>
                <w:sz w:val="24"/>
                <w:szCs w:val="24"/>
                <w:lang w:eastAsia="pt-BR"/>
              </w:rPr>
              <w:t>Painel Visão Contribuintes</w:t>
            </w:r>
            <w:bookmarkEnd w:id="14"/>
          </w:p>
        </w:tc>
        <w:tc>
          <w:tcPr>
            <w:tcW w:w="0" w:type="auto"/>
            <w:tcBorders>
              <w:top w:val="outset" w:sz="6" w:space="0" w:color="auto"/>
              <w:left w:val="outset" w:sz="6" w:space="0" w:color="auto"/>
              <w:bottom w:val="outset" w:sz="6" w:space="0" w:color="auto"/>
              <w:right w:val="outset" w:sz="6" w:space="0" w:color="auto"/>
            </w:tcBorders>
            <w:vAlign w:val="center"/>
            <w:hideMark/>
          </w:tcPr>
          <w:p w14:paraId="4C034AF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Indicadores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4F54"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3177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indicadores de regularidade do contribuinte (</w:t>
            </w:r>
            <w:proofErr w:type="spellStart"/>
            <w:r w:rsidRPr="00EC5411">
              <w:rPr>
                <w:rFonts w:eastAsia="Times New Roman" w:cstheme="minorHAnsi"/>
                <w:sz w:val="24"/>
                <w:szCs w:val="24"/>
                <w:lang w:eastAsia="pt-BR"/>
              </w:rPr>
              <w:t>check</w:t>
            </w:r>
            <w:proofErr w:type="spellEnd"/>
            <w:r w:rsidRPr="00EC5411">
              <w:rPr>
                <w:rFonts w:eastAsia="Times New Roman" w:cstheme="minorHAnsi"/>
                <w:sz w:val="24"/>
                <w:szCs w:val="24"/>
                <w:lang w:eastAsia="pt-BR"/>
              </w:rPr>
              <w:t xml:space="preserve"> </w:t>
            </w:r>
            <w:proofErr w:type="spellStart"/>
            <w:r w:rsidRPr="00EC5411">
              <w:rPr>
                <w:rFonts w:eastAsia="Times New Roman" w:cstheme="minorHAnsi"/>
                <w:sz w:val="24"/>
                <w:szCs w:val="24"/>
                <w:lang w:eastAsia="pt-BR"/>
              </w:rPr>
              <w:t>list</w:t>
            </w:r>
            <w:proofErr w:type="spellEnd"/>
            <w:r w:rsidRPr="00EC5411">
              <w:rPr>
                <w:rFonts w:eastAsia="Times New Roman" w:cstheme="minorHAnsi"/>
                <w:sz w:val="24"/>
                <w:szCs w:val="24"/>
                <w:lang w:eastAsia="pt-BR"/>
              </w:rPr>
              <w:t>) e outros indicadores visuais de arrecadação.</w:t>
            </w:r>
          </w:p>
        </w:tc>
      </w:tr>
      <w:tr w:rsidR="00EC5411" w:rsidRPr="00EC5411" w14:paraId="3EC7B3FB"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7EB9B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7344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Conta Corrente Do Contribuinte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C510"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C9E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todos os lançamentos existentes no Conta Corrente (Lançamentos) do contribuinte, com possibilidade de filtragem por data, receita e situação. Por padrão são apresentados os lançamentos NÃO PAGOS.</w:t>
            </w:r>
          </w:p>
        </w:tc>
      </w:tr>
      <w:tr w:rsidR="00EC5411" w:rsidRPr="00EC5411" w14:paraId="77EB8AA6"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5070D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05949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Escrituração Fiscal Digital -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320D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Relatório Sintético da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F3E0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informações das operações declaradas pelo contribuinte na Escrituração Fiscal por CFOP de forma sintética, podendo ser filtrado por período.</w:t>
            </w:r>
          </w:p>
        </w:tc>
      </w:tr>
      <w:tr w:rsidR="00EC5411" w:rsidRPr="00EC5411" w14:paraId="1A7D7A5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233090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EE1BCD"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D3B2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Relatório da Apuração da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3ED8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Apresenta informações da apuração própria da Escrituração Fiscal do contribuinte e ajustes da </w:t>
            </w:r>
            <w:r w:rsidRPr="00EC5411">
              <w:rPr>
                <w:rFonts w:eastAsia="Times New Roman" w:cstheme="minorHAnsi"/>
                <w:sz w:val="24"/>
                <w:szCs w:val="24"/>
                <w:lang w:eastAsia="pt-BR"/>
              </w:rPr>
              <w:lastRenderedPageBreak/>
              <w:t>apuração existentes, podendo ser filtrado por período.</w:t>
            </w:r>
          </w:p>
        </w:tc>
      </w:tr>
      <w:tr w:rsidR="00EC5411" w:rsidRPr="00EC5411" w14:paraId="7A06071B"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CB2AF4"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3BBA31"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62C4B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Notas Fiscais Escrituradas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07A7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as notas fiscais escrituradas pelo contribuinte na EFD para o período selecionado.</w:t>
            </w:r>
          </w:p>
        </w:tc>
      </w:tr>
      <w:tr w:rsidR="00EC5411" w:rsidRPr="00EC5411" w14:paraId="5C38321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4B90B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FBAAB2"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0764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Omissão de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69FA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a situação referente à apresentação dos arquivos da EFD desde 2014, assinalando as omissões.</w:t>
            </w:r>
          </w:p>
        </w:tc>
      </w:tr>
      <w:tr w:rsidR="00EC5411" w:rsidRPr="00EC5411" w14:paraId="5747A9D5"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2E6ADF0"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BCD9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Indicadores Econômicos</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C02EF"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9712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12 indicadores econômicos calculados para o contribuinte a partir de 2016.</w:t>
            </w:r>
          </w:p>
        </w:tc>
      </w:tr>
      <w:tr w:rsidR="00EC5411" w:rsidRPr="00EC5411" w14:paraId="4E042E0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4B2C2A"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EA34A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NF-e</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2CC0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Perfil de Entradas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8F3F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de forma sintética as Notas Fiscais emitidas onde o contribuinte selecionado é o destinatário, agrupado por UF de origem e remetente.</w:t>
            </w:r>
          </w:p>
        </w:tc>
      </w:tr>
      <w:tr w:rsidR="00EC5411" w:rsidRPr="00EC5411" w14:paraId="319DF662"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65F66B"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FAB2BBC"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97C0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Perfil De Saídas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6E86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de forma sintética as Notas Fiscais emitidas onde o contribuinte selecionado é o remetente, agrupado por UF de destino e destinatário.</w:t>
            </w:r>
          </w:p>
        </w:tc>
      </w:tr>
      <w:tr w:rsidR="00EC5411" w:rsidRPr="00EC5411" w14:paraId="2B02AF7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01CDF8"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4757B2"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C0EC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NF-e de Saída por CFOP</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F83D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de forma sintética as Notas Fiscais emitidas onde o contribuinte selecionado é o remetente, agrupado por CFOP.</w:t>
            </w:r>
          </w:p>
        </w:tc>
      </w:tr>
      <w:tr w:rsidR="00EC5411" w:rsidRPr="00EC5411" w14:paraId="2426DD3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13586E"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43DC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Cadastro</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5ED2"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C773A"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Apresenta o histórico de alterações na situação do contribuinte selecionado.</w:t>
            </w:r>
          </w:p>
        </w:tc>
      </w:tr>
      <w:tr w:rsidR="00EC5411" w:rsidRPr="00EC5411" w14:paraId="73A3ADE6"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201451A"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499D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Análises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D903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Prévia Para Liquidação De Débito</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25BA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Reúne informações que precisam ser consultados para análise prévia dos processos administrativos de Liquidação de Débito desvinculado de conta gráfica para apoiar o decisor.</w:t>
            </w:r>
          </w:p>
        </w:tc>
      </w:tr>
      <w:tr w:rsidR="00EC5411" w:rsidRPr="00EC5411" w14:paraId="01C591D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53374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lastRenderedPageBreak/>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CA03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A6C3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7445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06784413"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782BCA"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5" w:name="_Toc122521750"/>
            <w:r w:rsidRPr="00EC5411">
              <w:rPr>
                <w:rFonts w:eastAsia="Times New Roman" w:cstheme="minorHAnsi"/>
                <w:b/>
                <w:bCs/>
                <w:sz w:val="24"/>
                <w:szCs w:val="24"/>
                <w:lang w:eastAsia="pt-BR"/>
              </w:rPr>
              <w:t>Visão por Raiz do CNPJ</w:t>
            </w:r>
            <w:bookmarkEnd w:id="15"/>
          </w:p>
        </w:tc>
        <w:tc>
          <w:tcPr>
            <w:tcW w:w="0" w:type="auto"/>
            <w:tcBorders>
              <w:top w:val="outset" w:sz="6" w:space="0" w:color="auto"/>
              <w:left w:val="outset" w:sz="6" w:space="0" w:color="auto"/>
              <w:bottom w:val="outset" w:sz="6" w:space="0" w:color="auto"/>
              <w:right w:val="outset" w:sz="6" w:space="0" w:color="auto"/>
            </w:tcBorders>
            <w:vAlign w:val="center"/>
            <w:hideMark/>
          </w:tcPr>
          <w:p w14:paraId="0434999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Indicadores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4D89F"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7306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65E804CD"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D834FD"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75AE9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Estabelecimento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6D6A7"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5A6A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Lista os estabelecimentos vinculados à Raiz do CNPJ consultado.</w:t>
            </w:r>
          </w:p>
        </w:tc>
      </w:tr>
      <w:tr w:rsidR="00EC5411" w:rsidRPr="00EC5411" w14:paraId="75F9CB25"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0D111B"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55EA1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Conta Corrente do Contribuinte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321F2"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9F85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40E58EA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F32F99"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75BC7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Escrituração Fiscal Digital -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B66A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Relatório Sintético da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D536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513F761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9F7124"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C45A4E"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92F3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Relatório da Apuração da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5126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44EC2466"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A35D67"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42FF9A"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547FD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Notas Fiscais Escrituradas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99DE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0C376C4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3D49B4"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1406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Indicadores Econômicos</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8A3C"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3D8F7"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3BB575B1"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418C8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B8DB6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NF-e</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E4E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Perfil de Entradas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D1C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Reproduz as análises e indicadores do painel Visão Contribuinte, </w:t>
            </w:r>
            <w:r w:rsidRPr="00EC5411">
              <w:rPr>
                <w:rFonts w:eastAsia="Times New Roman" w:cstheme="minorHAnsi"/>
                <w:sz w:val="24"/>
                <w:szCs w:val="24"/>
                <w:lang w:eastAsia="pt-BR"/>
              </w:rPr>
              <w:lastRenderedPageBreak/>
              <w:t>agregando todos os estabelecimentos de uma empresa (Raiz do CNPJ).</w:t>
            </w:r>
          </w:p>
        </w:tc>
      </w:tr>
      <w:tr w:rsidR="00EC5411" w:rsidRPr="00EC5411" w14:paraId="731CF29A"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70DC32"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BC3C48" w14:textId="77777777" w:rsidR="00EC5411" w:rsidRPr="00EC5411" w:rsidRDefault="00EC5411" w:rsidP="00EC5411">
            <w:pPr>
              <w:spacing w:after="0" w:line="240" w:lineRule="auto"/>
              <w:rPr>
                <w:rFonts w:eastAsia="Times New Roman" w:cstheme="minorHAnsi"/>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1995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Perfil de Saídas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5140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Reproduz as análises e indicadores do painel Visão Contribuinte, agregando todos os estabelecimentos de uma empresa (Raiz do CNPJ).</w:t>
            </w:r>
          </w:p>
        </w:tc>
      </w:tr>
      <w:tr w:rsidR="00EC5411" w:rsidRPr="00EC5411" w14:paraId="052BFC3D"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893FD6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D0AD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5E3A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C2A3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5D30E646"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78607E"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6" w:name="_Toc122521751"/>
            <w:r w:rsidRPr="00EC5411">
              <w:rPr>
                <w:rFonts w:eastAsia="Times New Roman" w:cstheme="minorHAnsi"/>
                <w:b/>
                <w:bCs/>
                <w:sz w:val="24"/>
                <w:szCs w:val="24"/>
                <w:lang w:eastAsia="pt-BR"/>
              </w:rPr>
              <w:t>Renúncia Tributária</w:t>
            </w:r>
            <w:bookmarkEnd w:id="16"/>
          </w:p>
        </w:tc>
        <w:tc>
          <w:tcPr>
            <w:tcW w:w="0" w:type="auto"/>
            <w:tcBorders>
              <w:top w:val="outset" w:sz="6" w:space="0" w:color="auto"/>
              <w:left w:val="outset" w:sz="6" w:space="0" w:color="auto"/>
              <w:bottom w:val="outset" w:sz="6" w:space="0" w:color="auto"/>
              <w:right w:val="outset" w:sz="6" w:space="0" w:color="auto"/>
            </w:tcBorders>
            <w:vAlign w:val="center"/>
            <w:hideMark/>
          </w:tcPr>
          <w:p w14:paraId="3C1A7B5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LDO</w:t>
            </w:r>
            <w:r w:rsidRPr="00EC5411">
              <w:rPr>
                <w:rFonts w:eastAsia="Times New Roman" w:cstheme="minorHAnsi"/>
                <w:sz w:val="24"/>
                <w:szCs w:val="24"/>
                <w:vertAlign w:val="superscript"/>
                <w:lang w:eastAsia="pt-BR"/>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9BF72"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5D4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Demonstrativo para composição do Anexo de Metas Fiscais da Lei de Diretrizes Orçamentárias. Apresenta a renúncia tributária por ano, tributo, benefício, setor e a estimativa da renúncia potencial.</w:t>
            </w:r>
          </w:p>
        </w:tc>
      </w:tr>
      <w:tr w:rsidR="00EC5411" w:rsidRPr="00EC5411" w14:paraId="4641374C"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FEECD6"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D0ACAD"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LDO Detalhe</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D4801"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0426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Demonstrativo Detalhado da LDO por legislação de suporte, descrição do benefício, função, prazo e alcance. Apresenta os benefícios fiscais concedidos em caráter geral e específico.</w:t>
            </w:r>
          </w:p>
        </w:tc>
      </w:tr>
      <w:tr w:rsidR="00EC5411" w:rsidRPr="00EC5411" w14:paraId="2E23EB6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F3476F"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84B95"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LOA</w:t>
            </w:r>
            <w:r w:rsidRPr="00EC5411">
              <w:rPr>
                <w:rFonts w:eastAsia="Times New Roman" w:cstheme="minorHAnsi"/>
                <w:sz w:val="24"/>
                <w:szCs w:val="24"/>
                <w:vertAlign w:val="superscript"/>
                <w:lang w:eastAsia="pt-BR"/>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8804C"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ED66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Demonstrativo Anual da Renúncia Tributária Regionalizado para composição da Lei Orçamentária Anual.</w:t>
            </w:r>
          </w:p>
        </w:tc>
      </w:tr>
      <w:tr w:rsidR="00EC5411" w:rsidRPr="00EC5411" w14:paraId="064DEBEA"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309F0C2"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661A5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Acompanhamento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E6476"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0D45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Demonstrativo Mensal para Composição do Relatório Resumido de Execução Orçamentária. É gerado automaticamente todo dia 21 de cada mês.</w:t>
            </w:r>
          </w:p>
        </w:tc>
      </w:tr>
      <w:tr w:rsidR="00EC5411" w:rsidRPr="00EC5411" w14:paraId="02E094C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660243B"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5ADC6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CNAE</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71823"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5EF0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Relatório gerencial da renúncia tributária detalhado por CNAE.</w:t>
            </w:r>
          </w:p>
        </w:tc>
      </w:tr>
      <w:tr w:rsidR="00EC5411" w:rsidRPr="00EC5411" w14:paraId="7A30087B"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B83BAE"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7" w:name="_Toc122521752"/>
            <w:r w:rsidRPr="00EC5411">
              <w:rPr>
                <w:rFonts w:eastAsia="Times New Roman" w:cstheme="minorHAnsi"/>
                <w:b/>
                <w:bCs/>
                <w:sz w:val="24"/>
                <w:szCs w:val="24"/>
                <w:lang w:eastAsia="pt-BR"/>
              </w:rPr>
              <w:t>Painel VAF</w:t>
            </w:r>
            <w:r w:rsidRPr="00EC5411">
              <w:rPr>
                <w:rFonts w:eastAsia="Times New Roman" w:cstheme="minorHAnsi"/>
                <w:b/>
                <w:bCs/>
                <w:sz w:val="24"/>
                <w:szCs w:val="24"/>
                <w:vertAlign w:val="superscript"/>
                <w:lang w:eastAsia="pt-BR"/>
              </w:rPr>
              <w:t>20</w:t>
            </w:r>
            <w:r w:rsidRPr="00EC5411">
              <w:rPr>
                <w:rFonts w:eastAsia="Times New Roman" w:cstheme="minorHAnsi"/>
                <w:b/>
                <w:bCs/>
                <w:sz w:val="24"/>
                <w:szCs w:val="24"/>
                <w:lang w:eastAsia="pt-BR"/>
              </w:rPr>
              <w:t> Comercial</w:t>
            </w:r>
            <w:bookmarkEnd w:id="17"/>
          </w:p>
        </w:tc>
        <w:tc>
          <w:tcPr>
            <w:tcW w:w="0" w:type="auto"/>
            <w:tcBorders>
              <w:top w:val="outset" w:sz="6" w:space="0" w:color="auto"/>
              <w:left w:val="outset" w:sz="6" w:space="0" w:color="auto"/>
              <w:bottom w:val="outset" w:sz="6" w:space="0" w:color="auto"/>
              <w:right w:val="outset" w:sz="6" w:space="0" w:color="auto"/>
            </w:tcBorders>
            <w:vAlign w:val="center"/>
            <w:hideMark/>
          </w:tcPr>
          <w:p w14:paraId="42D6748E"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23D2F"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2067E"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Traz informação do VAF das empresas inscritas como contribuintes do ICMS/RO, considerando </w:t>
            </w:r>
            <w:r w:rsidRPr="00EC5411">
              <w:rPr>
                <w:rFonts w:eastAsia="Times New Roman" w:cstheme="minorHAnsi"/>
                <w:sz w:val="24"/>
                <w:szCs w:val="24"/>
                <w:lang w:eastAsia="pt-BR"/>
              </w:rPr>
              <w:lastRenderedPageBreak/>
              <w:t>também informação dos estoques inicial e final. Tem o objetivo de identificar de forma mais assertiva as empresas que possuem VAF negativo.</w:t>
            </w:r>
          </w:p>
        </w:tc>
      </w:tr>
      <w:tr w:rsidR="00EC5411" w:rsidRPr="00EC5411" w14:paraId="5C2E94F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C2486D"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8" w:name="_Toc122521753"/>
            <w:r w:rsidRPr="00EC5411">
              <w:rPr>
                <w:rFonts w:eastAsia="Times New Roman" w:cstheme="minorHAnsi"/>
                <w:b/>
                <w:bCs/>
                <w:sz w:val="24"/>
                <w:szCs w:val="24"/>
                <w:lang w:eastAsia="pt-BR"/>
              </w:rPr>
              <w:lastRenderedPageBreak/>
              <w:t>Visão Pessoa</w:t>
            </w:r>
            <w:bookmarkEnd w:id="18"/>
          </w:p>
        </w:tc>
        <w:tc>
          <w:tcPr>
            <w:tcW w:w="0" w:type="auto"/>
            <w:tcBorders>
              <w:top w:val="outset" w:sz="6" w:space="0" w:color="auto"/>
              <w:left w:val="outset" w:sz="6" w:space="0" w:color="auto"/>
              <w:bottom w:val="outset" w:sz="6" w:space="0" w:color="auto"/>
              <w:right w:val="outset" w:sz="6" w:space="0" w:color="auto"/>
            </w:tcBorders>
            <w:vAlign w:val="center"/>
            <w:hideMark/>
          </w:tcPr>
          <w:p w14:paraId="7B614D3E"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D46F2" w14:textId="77777777" w:rsidR="00EC5411" w:rsidRPr="00EC5411" w:rsidRDefault="00EC5411" w:rsidP="00EC5411">
            <w:pPr>
              <w:spacing w:before="120" w:after="120" w:line="240" w:lineRule="auto"/>
              <w:ind w:left="120" w:right="120"/>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7A2D4"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Objetivo de identificar referências para uma determinada pessoa (CPF ou CNPJ) e apresentar diversos telefones e endereços onde possa ser encontrado.</w:t>
            </w:r>
          </w:p>
        </w:tc>
      </w:tr>
    </w:tbl>
    <w:p w14:paraId="02152ABD"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1153CD3"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18 – Lei de Diretrizes Orçamentárias;</w:t>
      </w:r>
    </w:p>
    <w:p w14:paraId="26CB2BEB"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19 – Lei Orçamentária Anual;</w:t>
      </w:r>
    </w:p>
    <w:p w14:paraId="5B60A8DC"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20 – Valor Adicionado Fiscal;</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94"/>
        <w:gridCol w:w="1360"/>
        <w:gridCol w:w="1000"/>
        <w:gridCol w:w="3346"/>
      </w:tblGrid>
      <w:tr w:rsidR="00EC5411" w:rsidRPr="00EC5411" w14:paraId="12476360"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3AEC75" w14:textId="77777777" w:rsidR="00EC5411" w:rsidRPr="00EC5411" w:rsidRDefault="00EC5411" w:rsidP="00EC5411">
            <w:pPr>
              <w:spacing w:after="0" w:line="240" w:lineRule="auto"/>
              <w:rPr>
                <w:rFonts w:eastAsia="Times New Roman" w:cstheme="minorHAnsi"/>
                <w:sz w:val="24"/>
                <w:szCs w:val="24"/>
                <w:lang w:eastAsia="pt-BR"/>
              </w:rPr>
            </w:pPr>
            <w:r w:rsidRPr="00EC5411">
              <w:rPr>
                <w:rFonts w:eastAsia="Times New Roman" w:cstheme="minorHAnsi"/>
                <w:sz w:val="24"/>
                <w:szCs w:val="24"/>
                <w:lang w:eastAsia="pt-BR"/>
              </w:rPr>
              <w:t> </w:t>
            </w:r>
          </w:p>
          <w:p w14:paraId="3D8E0F4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Painel</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D21A3"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033F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9A9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DESCRIÇÃO</w:t>
            </w:r>
          </w:p>
        </w:tc>
      </w:tr>
      <w:tr w:rsidR="00EC5411" w:rsidRPr="00EC5411" w14:paraId="1EBBDA17"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BC2447"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19" w:name="_Toc122521754"/>
            <w:r w:rsidRPr="00EC5411">
              <w:rPr>
                <w:rFonts w:eastAsia="Times New Roman" w:cstheme="minorHAnsi"/>
                <w:b/>
                <w:bCs/>
                <w:sz w:val="24"/>
                <w:szCs w:val="24"/>
                <w:lang w:eastAsia="pt-BR"/>
              </w:rPr>
              <w:t>Monitoramento CONSIT (Interno)</w:t>
            </w:r>
            <w:bookmarkEnd w:id="19"/>
          </w:p>
        </w:tc>
        <w:tc>
          <w:tcPr>
            <w:tcW w:w="0" w:type="auto"/>
            <w:tcBorders>
              <w:top w:val="outset" w:sz="6" w:space="0" w:color="auto"/>
              <w:left w:val="outset" w:sz="6" w:space="0" w:color="auto"/>
              <w:bottom w:val="outset" w:sz="6" w:space="0" w:color="auto"/>
              <w:right w:val="outset" w:sz="6" w:space="0" w:color="auto"/>
            </w:tcBorders>
            <w:vAlign w:val="center"/>
            <w:hideMark/>
          </w:tcPr>
          <w:p w14:paraId="67C89FC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FITHA - Frigorífico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0D15"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DAC6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Essa Aba do painel apresenta síntese do Fundo FITHA e do ICMS recolhidos, bem como o Crédito Presumido e o Faturamento Total dos frigoríficos beneficiados pelo Incentivo Tributário previsto na Lei nº 1558/2005 (CONDER).</w:t>
            </w:r>
          </w:p>
        </w:tc>
      </w:tr>
      <w:tr w:rsidR="00EC5411" w:rsidRPr="00EC5411" w14:paraId="29F6B319"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7AA62B3"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9254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FITHA - Demais</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8BE42"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7C82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Essa Aba do painel apresenta síntese do Fundo FITHA e do ICMS recolhidos, bem como o Crédito Presumido e o Faturamento Total dos empreendimentos beneficiados pelo Incentivo Tributário previsto na Lei nº 1558/2005 (CONDER), exceto os frigoríficos.</w:t>
            </w:r>
          </w:p>
        </w:tc>
      </w:tr>
      <w:tr w:rsidR="00EC5411" w:rsidRPr="00EC5411" w14:paraId="6F645465"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4196A0"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C8272"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FIDER</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50EE1"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8A1CF"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Essa Aba do painel apresenta síntese do Fundo FIDER e do ICMS recolhidos, bem como o Crédito Presumido e o Faturamento Total dos empreendimentos beneficiados pelo Incentivo Tributário previsto na Lei nº 1558/2005 (CONDER) que devem recolher FIDER.</w:t>
            </w:r>
          </w:p>
        </w:tc>
      </w:tr>
      <w:tr w:rsidR="00EC5411" w:rsidRPr="00EC5411" w14:paraId="5F3043D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068A7E"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C01E1"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Pró-Leite</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0E330"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8891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 xml:space="preserve">Essa Aba do painel apresenta síntese do Fundo PRÓ-LEITE e do </w:t>
            </w:r>
            <w:r w:rsidRPr="00EC5411">
              <w:rPr>
                <w:rFonts w:eastAsia="Times New Roman" w:cstheme="minorHAnsi"/>
                <w:sz w:val="24"/>
                <w:szCs w:val="24"/>
                <w:lang w:eastAsia="pt-BR"/>
              </w:rPr>
              <w:lastRenderedPageBreak/>
              <w:t>ICMS recolhidos, bem como o Crédito Presumido e o Faturamento Total dos empreendimentos beneficiados pelo Incentivo Tributário previsto na Lei nº 1558/2005 (CONDER) que devem recolher PRÓ-LEITE.</w:t>
            </w:r>
          </w:p>
        </w:tc>
      </w:tr>
      <w:tr w:rsidR="00EC5411" w:rsidRPr="00EC5411" w14:paraId="5981451F"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A7A569"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20" w:name="_Toc122521755"/>
            <w:r w:rsidRPr="00EC5411">
              <w:rPr>
                <w:rFonts w:eastAsia="Times New Roman" w:cstheme="minorHAnsi"/>
                <w:b/>
                <w:bCs/>
                <w:sz w:val="24"/>
                <w:szCs w:val="24"/>
                <w:lang w:eastAsia="pt-BR"/>
              </w:rPr>
              <w:lastRenderedPageBreak/>
              <w:t>Painel Comércio Exterior</w:t>
            </w:r>
            <w:bookmarkEnd w:id="20"/>
          </w:p>
        </w:tc>
        <w:tc>
          <w:tcPr>
            <w:tcW w:w="0" w:type="auto"/>
            <w:tcBorders>
              <w:top w:val="outset" w:sz="6" w:space="0" w:color="auto"/>
              <w:left w:val="outset" w:sz="6" w:space="0" w:color="auto"/>
              <w:bottom w:val="outset" w:sz="6" w:space="0" w:color="auto"/>
              <w:right w:val="outset" w:sz="6" w:space="0" w:color="auto"/>
            </w:tcBorders>
            <w:vAlign w:val="center"/>
            <w:hideMark/>
          </w:tcPr>
          <w:p w14:paraId="0F81953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Comércio Exterior</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66AA5"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62BF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Monitora a efetiva exportação, com a verificação do evento de averbação.</w:t>
            </w:r>
          </w:p>
        </w:tc>
      </w:tr>
      <w:tr w:rsidR="00EC5411" w:rsidRPr="00EC5411" w14:paraId="475A196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F459E69"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B0E6B"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Consulta de Notas</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4E468"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B32D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Consulta de notas do Comércio Exterior.</w:t>
            </w:r>
          </w:p>
        </w:tc>
      </w:tr>
      <w:tr w:rsidR="00EC5411" w:rsidRPr="00EC5411" w14:paraId="0040B02E"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68D6034"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21" w:name="_Toc122521756"/>
            <w:r w:rsidRPr="00EC5411">
              <w:rPr>
                <w:rFonts w:eastAsia="Times New Roman" w:cstheme="minorHAnsi"/>
                <w:b/>
                <w:bCs/>
                <w:sz w:val="24"/>
                <w:szCs w:val="24"/>
                <w:lang w:eastAsia="pt-BR"/>
              </w:rPr>
              <w:t>Contribuintes - Convênio 164/2019</w:t>
            </w:r>
            <w:bookmarkEnd w:id="21"/>
          </w:p>
        </w:tc>
        <w:tc>
          <w:tcPr>
            <w:tcW w:w="0" w:type="auto"/>
            <w:tcBorders>
              <w:top w:val="outset" w:sz="6" w:space="0" w:color="auto"/>
              <w:left w:val="outset" w:sz="6" w:space="0" w:color="auto"/>
              <w:bottom w:val="outset" w:sz="6" w:space="0" w:color="auto"/>
              <w:right w:val="outset" w:sz="6" w:space="0" w:color="auto"/>
            </w:tcBorders>
            <w:vAlign w:val="center"/>
            <w:hideMark/>
          </w:tcPr>
          <w:p w14:paraId="58B09849"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09DB"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9C829"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Informar o quantitativo de contribuintes constantes do cadastro da SEFIN, por regime de pagamento, para atendimento dos termos do convênio 164.</w:t>
            </w:r>
          </w:p>
        </w:tc>
      </w:tr>
      <w:tr w:rsidR="00EC5411" w:rsidRPr="00EC5411" w14:paraId="7A94BA44"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B37BAC" w14:textId="77777777" w:rsidR="00EC5411" w:rsidRPr="00EC5411" w:rsidRDefault="00EC5411" w:rsidP="00EC5411">
            <w:pPr>
              <w:spacing w:before="100" w:beforeAutospacing="1" w:after="100" w:afterAutospacing="1" w:line="240" w:lineRule="auto"/>
              <w:outlineLvl w:val="1"/>
              <w:rPr>
                <w:rFonts w:eastAsia="Times New Roman" w:cstheme="minorHAnsi"/>
                <w:b/>
                <w:bCs/>
                <w:sz w:val="24"/>
                <w:szCs w:val="24"/>
                <w:lang w:eastAsia="pt-BR"/>
              </w:rPr>
            </w:pPr>
            <w:bookmarkStart w:id="22" w:name="_Toc122521757"/>
            <w:r w:rsidRPr="00EC5411">
              <w:rPr>
                <w:rFonts w:eastAsia="Times New Roman" w:cstheme="minorHAnsi"/>
                <w:b/>
                <w:bCs/>
                <w:sz w:val="24"/>
                <w:szCs w:val="24"/>
                <w:lang w:eastAsia="pt-BR"/>
              </w:rPr>
              <w:t>Painel Arrecadação</w:t>
            </w:r>
            <w:bookmarkEnd w:id="22"/>
          </w:p>
        </w:tc>
        <w:tc>
          <w:tcPr>
            <w:tcW w:w="0" w:type="auto"/>
            <w:tcBorders>
              <w:top w:val="outset" w:sz="6" w:space="0" w:color="auto"/>
              <w:left w:val="outset" w:sz="6" w:space="0" w:color="auto"/>
              <w:bottom w:val="outset" w:sz="6" w:space="0" w:color="auto"/>
              <w:right w:val="outset" w:sz="6" w:space="0" w:color="auto"/>
            </w:tcBorders>
            <w:vAlign w:val="center"/>
            <w:hideMark/>
          </w:tcPr>
          <w:p w14:paraId="1C9C60B6"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Arrecadação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6E535"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3F9D8"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Traz a informação sobre a arrecadação das receitas de impostos estaduais de forma mensal.</w:t>
            </w:r>
          </w:p>
        </w:tc>
      </w:tr>
      <w:tr w:rsidR="00EC5411" w:rsidRPr="00EC5411" w14:paraId="535FF22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BACB00" w14:textId="77777777" w:rsidR="00EC5411" w:rsidRPr="00EC5411" w:rsidRDefault="00EC5411" w:rsidP="00EC5411">
            <w:pPr>
              <w:spacing w:after="0" w:line="240" w:lineRule="auto"/>
              <w:rPr>
                <w:rFonts w:eastAsia="Times New Roman" w:cstheme="minorHAnsi"/>
                <w:b/>
                <w:bCs/>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A8210"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Arrecadação por CNAE</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C6918" w14:textId="77777777" w:rsidR="00EC5411" w:rsidRPr="00EC5411" w:rsidRDefault="00EC5411" w:rsidP="00EC5411">
            <w:pPr>
              <w:spacing w:before="120" w:after="120" w:line="240" w:lineRule="auto"/>
              <w:ind w:left="120" w:right="120"/>
              <w:jc w:val="center"/>
              <w:rPr>
                <w:rFonts w:eastAsia="Times New Roman" w:cstheme="minorHAnsi"/>
                <w:sz w:val="24"/>
                <w:szCs w:val="24"/>
                <w:lang w:eastAsia="pt-BR"/>
              </w:rPr>
            </w:pPr>
            <w:r w:rsidRPr="00EC5411">
              <w:rPr>
                <w:rFonts w:eastAsia="Times New Roman" w:cstheme="minorHAnsi"/>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889EC" w14:textId="77777777" w:rsidR="00EC5411" w:rsidRPr="00EC5411" w:rsidRDefault="00EC5411" w:rsidP="00EC5411">
            <w:pPr>
              <w:spacing w:before="100" w:beforeAutospacing="1" w:after="100" w:afterAutospacing="1" w:line="240" w:lineRule="auto"/>
              <w:rPr>
                <w:rFonts w:eastAsia="Times New Roman" w:cstheme="minorHAnsi"/>
                <w:sz w:val="24"/>
                <w:szCs w:val="24"/>
                <w:lang w:eastAsia="pt-BR"/>
              </w:rPr>
            </w:pPr>
            <w:r w:rsidRPr="00EC5411">
              <w:rPr>
                <w:rFonts w:eastAsia="Times New Roman" w:cstheme="minorHAnsi"/>
                <w:sz w:val="24"/>
                <w:szCs w:val="24"/>
                <w:lang w:eastAsia="pt-BR"/>
              </w:rPr>
              <w:t>Traz a informação sobre a arrecadação das receitas de impostos estaduais de forma mensal por CNAE.</w:t>
            </w:r>
          </w:p>
        </w:tc>
      </w:tr>
    </w:tbl>
    <w:p w14:paraId="22D9D70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285"/>
        <w:gridCol w:w="1769"/>
        <w:gridCol w:w="2185"/>
        <w:gridCol w:w="2261"/>
      </w:tblGrid>
      <w:tr w:rsidR="00EC5411" w:rsidRPr="00EC5411" w14:paraId="5ADBB76B"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noWrap/>
            <w:vAlign w:val="center"/>
            <w:hideMark/>
          </w:tcPr>
          <w:p w14:paraId="1A1BE47E" w14:textId="77777777" w:rsidR="00EC5411" w:rsidRPr="00EC5411" w:rsidRDefault="00EC5411" w:rsidP="00EC5411">
            <w:pPr>
              <w:spacing w:before="100" w:beforeAutospacing="1" w:after="100" w:afterAutospacing="1" w:line="240" w:lineRule="auto"/>
              <w:outlineLvl w:val="0"/>
              <w:rPr>
                <w:rFonts w:eastAsia="Times New Roman" w:cstheme="minorHAnsi"/>
                <w:b/>
                <w:bCs/>
                <w:color w:val="000000"/>
                <w:kern w:val="36"/>
                <w:sz w:val="24"/>
                <w:szCs w:val="24"/>
                <w:lang w:eastAsia="pt-BR"/>
              </w:rPr>
            </w:pPr>
            <w:bookmarkStart w:id="23" w:name="_Toc122521758"/>
            <w:r w:rsidRPr="00EC5411">
              <w:rPr>
                <w:rFonts w:eastAsia="Times New Roman" w:cstheme="minorHAnsi"/>
                <w:b/>
                <w:bCs/>
                <w:color w:val="000000"/>
                <w:kern w:val="36"/>
                <w:sz w:val="24"/>
                <w:szCs w:val="24"/>
                <w:lang w:eastAsia="pt-BR"/>
              </w:rPr>
              <w:t>Solução da CONSIT</w:t>
            </w:r>
            <w:bookmarkEnd w:id="23"/>
          </w:p>
          <w:p w14:paraId="3B19764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r>
      <w:tr w:rsidR="00EC5411" w:rsidRPr="00EC5411" w14:paraId="3C2EDEFA"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A18691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Solução que disponibiliza informações acerca das empresas que obtiveram o ato concessório do CONDER de incentivo fiscal para utilização de crédito presumido.</w:t>
            </w:r>
          </w:p>
          <w:p w14:paraId="5584CD2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62BE5E2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Endereço: </w:t>
            </w:r>
            <w:hyperlink r:id="rId7" w:tgtFrame="_blank" w:history="1">
              <w:r w:rsidRPr="00EC5411">
                <w:rPr>
                  <w:rFonts w:eastAsia="Times New Roman" w:cstheme="minorHAnsi"/>
                  <w:color w:val="0000FF"/>
                  <w:sz w:val="24"/>
                  <w:szCs w:val="24"/>
                  <w:u w:val="single"/>
                  <w:lang w:eastAsia="pt-BR"/>
                </w:rPr>
                <w:t>consit.sefin.ro.gov.br</w:t>
              </w:r>
            </w:hyperlink>
          </w:p>
        </w:tc>
      </w:tr>
      <w:tr w:rsidR="00EC5411" w:rsidRPr="00EC5411" w14:paraId="786D68E1"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D2CEA5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F28184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03826A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52F737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Observação</w:t>
            </w:r>
          </w:p>
        </w:tc>
      </w:tr>
      <w:tr w:rsidR="00EC5411" w:rsidRPr="00EC5411" w14:paraId="4FEE1C8A"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185D78F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Menu</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6BE6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Empresas Incentivadas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3360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Lista as empresas com produtos incentivados e possibilita a busca por "Status" e "Modalidade".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BB43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É possível identificar informações detalhadas, como por exemplo, percentual de crédito presumido concedido, ato concessório, entre outras.</w:t>
            </w:r>
          </w:p>
        </w:tc>
      </w:tr>
      <w:tr w:rsidR="00EC5411" w:rsidRPr="00EC5411" w14:paraId="3B453CAA"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C9C38E"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600E3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Cadastrar Nova Empresa Incentivada</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EB9C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Permite a inclusão de novas empresas incentivadas após a </w:t>
            </w:r>
            <w:r w:rsidRPr="00EC5411">
              <w:rPr>
                <w:rFonts w:eastAsia="Times New Roman" w:cstheme="minorHAnsi"/>
                <w:color w:val="000000"/>
                <w:sz w:val="24"/>
                <w:szCs w:val="24"/>
                <w:lang w:eastAsia="pt-BR"/>
              </w:rPr>
              <w:lastRenderedPageBreak/>
              <w:t>publicação do ato concessório em Diário Oficial.</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A3162"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w:t>
            </w:r>
          </w:p>
        </w:tc>
      </w:tr>
      <w:tr w:rsidR="00EC5411" w:rsidRPr="00EC5411" w14:paraId="506C0FCD"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A352B3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Notificações</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78E3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Suspensão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6E0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Lista as notificações de suspensão do incentivo encaminhadas às empresas via DET, por descumprimento a Lei 1558/05.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F10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Suspende o direito de utilização do crédito presumido.</w:t>
            </w:r>
          </w:p>
        </w:tc>
      </w:tr>
      <w:tr w:rsidR="00EC5411" w:rsidRPr="00EC5411" w14:paraId="6A396812"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5CA7142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Relatórios</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CC62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Inadimplentes</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9AF0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 as empresas com produtos incentivados que possuem débitos em aberto com o Estado.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CDE4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As informações são retiradas automaticamente </w:t>
            </w:r>
            <w:proofErr w:type="gramStart"/>
            <w:r w:rsidRPr="00EC5411">
              <w:rPr>
                <w:rFonts w:eastAsia="Times New Roman" w:cstheme="minorHAnsi"/>
                <w:color w:val="000000"/>
                <w:sz w:val="24"/>
                <w:szCs w:val="24"/>
                <w:lang w:eastAsia="pt-BR"/>
              </w:rPr>
              <w:t>do conta corrente</w:t>
            </w:r>
            <w:proofErr w:type="gramEnd"/>
            <w:r w:rsidRPr="00EC5411">
              <w:rPr>
                <w:rFonts w:eastAsia="Times New Roman" w:cstheme="minorHAnsi"/>
                <w:color w:val="000000"/>
                <w:sz w:val="24"/>
                <w:szCs w:val="24"/>
                <w:lang w:eastAsia="pt-BR"/>
              </w:rPr>
              <w:t xml:space="preserve"> do SITAFE.</w:t>
            </w:r>
          </w:p>
        </w:tc>
      </w:tr>
      <w:tr w:rsidR="00EC5411" w:rsidRPr="00EC5411" w14:paraId="594392D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5A5F8B"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02BA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Contribuintes</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70BB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Traz uma lista de todas as empresas que possuem ou já possuíram produtos incentivados.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A57B6"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r>
      <w:tr w:rsidR="00EC5411" w:rsidRPr="00EC5411" w14:paraId="316849C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0663FDF"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ACFB1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Vistorias</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A951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Apresenta o histórico de vistorias realizadas com o intuito de acompanhar o desenvolvimento e cumprimento do projeto de investimento.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5D84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O relatório de vistoria fica disponível quando acessa a empresa através do menu "Consultar Empresas Incentivadas".</w:t>
            </w:r>
          </w:p>
        </w:tc>
      </w:tr>
    </w:tbl>
    <w:p w14:paraId="08E44E7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36"/>
        <w:gridCol w:w="2243"/>
        <w:gridCol w:w="4321"/>
      </w:tblGrid>
      <w:tr w:rsidR="00EC5411" w:rsidRPr="00EC5411" w14:paraId="272EC567"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9A2CA8D" w14:textId="77777777" w:rsidR="00EC5411" w:rsidRPr="00EC5411" w:rsidRDefault="00EC5411" w:rsidP="00EC5411">
            <w:pPr>
              <w:spacing w:before="100" w:beforeAutospacing="1" w:after="100" w:afterAutospacing="1" w:line="240" w:lineRule="auto"/>
              <w:outlineLvl w:val="0"/>
              <w:rPr>
                <w:rFonts w:eastAsia="Times New Roman" w:cstheme="minorHAnsi"/>
                <w:b/>
                <w:bCs/>
                <w:color w:val="000000"/>
                <w:kern w:val="36"/>
                <w:sz w:val="24"/>
                <w:szCs w:val="24"/>
                <w:lang w:eastAsia="pt-BR"/>
              </w:rPr>
            </w:pPr>
            <w:bookmarkStart w:id="24" w:name="_Toc122521759"/>
            <w:r w:rsidRPr="00EC5411">
              <w:rPr>
                <w:rFonts w:eastAsia="Times New Roman" w:cstheme="minorHAnsi"/>
                <w:b/>
                <w:bCs/>
                <w:color w:val="000000"/>
                <w:kern w:val="36"/>
                <w:sz w:val="24"/>
                <w:szCs w:val="24"/>
                <w:lang w:eastAsia="pt-BR"/>
              </w:rPr>
              <w:t>Solução IPM</w:t>
            </w:r>
            <w:bookmarkEnd w:id="24"/>
            <w:r w:rsidRPr="00EC5411">
              <w:rPr>
                <w:rFonts w:eastAsia="Times New Roman" w:cstheme="minorHAnsi"/>
                <w:b/>
                <w:bCs/>
                <w:color w:val="000000"/>
                <w:kern w:val="36"/>
                <w:sz w:val="24"/>
                <w:szCs w:val="24"/>
                <w:vertAlign w:val="superscript"/>
                <w:lang w:eastAsia="pt-BR"/>
              </w:rPr>
              <w:t>21</w:t>
            </w:r>
          </w:p>
          <w:p w14:paraId="35415A3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r>
      <w:tr w:rsidR="00EC5411" w:rsidRPr="00EC5411" w14:paraId="6804A535"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857B69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Aplicação que serve para o cálculo do índice de participação dos municípios no ICMS e discrimina os fatores que são considerados.</w:t>
            </w:r>
          </w:p>
        </w:tc>
      </w:tr>
      <w:tr w:rsidR="00EC5411" w:rsidRPr="00EC5411" w14:paraId="57B114A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542C0B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CE8EE5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F0D98F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4240E49B"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3F71AF2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75% VAF</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759EB6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9702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analiticamente a diferença entra a saída e a entrada das empresas do regime de pagamento 1 (um).</w:t>
            </w:r>
          </w:p>
        </w:tc>
      </w:tr>
      <w:tr w:rsidR="00EC5411" w:rsidRPr="00EC5411" w14:paraId="30AD7C7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8EF6F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A5F1D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SIEN</w:t>
            </w:r>
            <w:r w:rsidRPr="00EC5411">
              <w:rPr>
                <w:rFonts w:eastAsia="Times New Roman" w:cstheme="minorHAnsi"/>
                <w:color w:val="000000"/>
                <w:sz w:val="24"/>
                <w:szCs w:val="24"/>
                <w:vertAlign w:val="superscript"/>
                <w:lang w:eastAsia="pt-BR"/>
              </w:rPr>
              <w:t>22</w:t>
            </w:r>
            <w:r w:rsidRPr="00EC5411">
              <w:rPr>
                <w:rFonts w:eastAsia="Times New Roman" w:cstheme="minorHAnsi"/>
                <w:color w:val="000000"/>
                <w:sz w:val="24"/>
                <w:szCs w:val="24"/>
                <w:lang w:eastAsia="pt-BR"/>
              </w:rPr>
              <w:t> - Rateio</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CC71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analiticamente o valor do rateio por município das empresas com inscrição única.</w:t>
            </w:r>
          </w:p>
        </w:tc>
      </w:tr>
      <w:tr w:rsidR="00EC5411" w:rsidRPr="00EC5411" w14:paraId="1C6CB160"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8DB2C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91087A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DAEP</w:t>
            </w:r>
            <w:r w:rsidRPr="00EC5411">
              <w:rPr>
                <w:rFonts w:eastAsia="Times New Roman" w:cstheme="minorHAnsi"/>
                <w:color w:val="000000"/>
                <w:sz w:val="24"/>
                <w:szCs w:val="24"/>
                <w:vertAlign w:val="superscript"/>
                <w:lang w:eastAsia="pt-BR"/>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1328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analiticamente o valor da energia gerada pela empresa hidrelétrica e demais itens que compõem o VAF.</w:t>
            </w:r>
          </w:p>
        </w:tc>
      </w:tr>
      <w:tr w:rsidR="00EC5411" w:rsidRPr="00EC5411" w14:paraId="6F460F0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0DD702B"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24CF4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PGDAS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FBBD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Relaciona analiticamente o valor adicionado fiscal das empresas optantes pelo Simples Nacional cujo tipo seja igual </w:t>
            </w:r>
            <w:r w:rsidRPr="00EC5411">
              <w:rPr>
                <w:rFonts w:eastAsia="Times New Roman" w:cstheme="minorHAnsi"/>
                <w:color w:val="000000"/>
                <w:sz w:val="24"/>
                <w:szCs w:val="24"/>
                <w:lang w:eastAsia="pt-BR"/>
              </w:rPr>
              <w:lastRenderedPageBreak/>
              <w:t>ao 1, 2, 3, 4, 5, 45, 46, 47 e 48 do manual do PGDAS.</w:t>
            </w:r>
          </w:p>
        </w:tc>
      </w:tr>
      <w:tr w:rsidR="00EC5411" w:rsidRPr="00EC5411" w14:paraId="24CA4F4B"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BB7D4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CC1B87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DASMEI</w:t>
            </w:r>
            <w:r w:rsidRPr="00EC5411">
              <w:rPr>
                <w:rFonts w:eastAsia="Times New Roman" w:cstheme="minorHAnsi"/>
                <w:color w:val="000000"/>
                <w:sz w:val="24"/>
                <w:szCs w:val="24"/>
                <w:vertAlign w:val="superscript"/>
                <w:lang w:eastAsia="pt-BR"/>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EF64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analiticamente o VAF das empresas MEI.</w:t>
            </w:r>
          </w:p>
        </w:tc>
      </w:tr>
      <w:tr w:rsidR="00EC5411" w:rsidRPr="00EC5411" w14:paraId="3EC8203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50B9C1"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3F2DBD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Autos de Infração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949F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São relacionados todos os valores dos autos de infração julgados em definitivo no ano imediatamente anterior ao ano da apuração do IPM, por município.</w:t>
            </w:r>
          </w:p>
        </w:tc>
      </w:tr>
      <w:tr w:rsidR="00EC5411" w:rsidRPr="00EC5411" w14:paraId="6D35D0E5"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88A564"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B3DA4C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Denúncia Espontânea</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729A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valor de todas as denúncias espontâneas do ano imediatamente anterior ao ano de apuração IPM, por município.</w:t>
            </w:r>
          </w:p>
        </w:tc>
      </w:tr>
      <w:tr w:rsidR="00EC5411" w:rsidRPr="00EC5411" w14:paraId="58FE8FB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9BCA3E"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AA797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Transporte Autônomo</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305B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valor de todos os transportes autônomos do ano imediatamente anterior ao ano da apuração do IPM, por município.</w:t>
            </w:r>
          </w:p>
        </w:tc>
      </w:tr>
      <w:tr w:rsidR="00EC5411" w:rsidRPr="00EC5411" w14:paraId="51059CC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DBA08B"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CAAB82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NF 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7B13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valor de todas as Notas Fiscais Avulsas de terceiros não cadastrados na SEFIN/RO do ano imediatamente anterior ao ano de apuração do IPM, por município.</w:t>
            </w:r>
          </w:p>
        </w:tc>
      </w:tr>
      <w:tr w:rsidR="00EC5411" w:rsidRPr="00EC5411" w14:paraId="6AD6E0EC"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BB742"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C9257A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Totalizador VAF 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AC65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Apresenta o resumo consolidado por valor de todos os itens que compõem o fator de cálculo VAF 75%.</w:t>
            </w:r>
          </w:p>
        </w:tc>
      </w:tr>
    </w:tbl>
    <w:p w14:paraId="507FB34C"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E0E444C" w14:textId="77777777" w:rsidR="00EC5411" w:rsidRPr="00EC5411" w:rsidRDefault="00EC5411" w:rsidP="00EC5411">
      <w:pPr>
        <w:spacing w:after="0"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21 – Índice de Participação dos Municípios;</w:t>
      </w:r>
    </w:p>
    <w:p w14:paraId="145F01B6"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22 – Sistema de Entradas de Notas;</w:t>
      </w:r>
    </w:p>
    <w:p w14:paraId="1BD15E63"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23 – Declaração Anual da Energia Produzida;</w:t>
      </w:r>
    </w:p>
    <w:p w14:paraId="4A1EC971"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24 – Documento de Arrecadação do Simples Nacional do Microempreendedor Individual;</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609"/>
        <w:gridCol w:w="1845"/>
        <w:gridCol w:w="3046"/>
      </w:tblGrid>
      <w:tr w:rsidR="00EC5411" w:rsidRPr="00EC5411" w14:paraId="369BEDFE"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A22C6D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33341A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06AA72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2292EE57"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17060D2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5% Produção Total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E336FE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NF891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7D4F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valor das Notas Fiscais de saídas de produtos primários emitidas por produtores rurais, por município.</w:t>
            </w:r>
          </w:p>
        </w:tc>
      </w:tr>
      <w:tr w:rsidR="00EC5411" w:rsidRPr="00EC5411" w14:paraId="1CB745B4"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CE3FF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8E80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NF Entrada Produto Primário</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B4EB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valor das Notas Fiscais de entrada de produtos primários emitidas por empresas da indústria e comércio, por município.</w:t>
            </w:r>
          </w:p>
        </w:tc>
      </w:tr>
      <w:tr w:rsidR="00EC5411" w:rsidRPr="00EC5411" w14:paraId="6713651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DF9DCF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5% Unid. de Conservação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59EA9A7"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F2EC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cálculo à área total de unidade de conservação de cada município, conforme informado pela SEDAM</w:t>
            </w:r>
            <w:r w:rsidRPr="00EC5411">
              <w:rPr>
                <w:rFonts w:eastAsia="Times New Roman" w:cstheme="minorHAnsi"/>
                <w:color w:val="000000"/>
                <w:sz w:val="24"/>
                <w:szCs w:val="24"/>
                <w:vertAlign w:val="superscript"/>
                <w:lang w:eastAsia="pt-BR"/>
              </w:rPr>
              <w:t>25</w:t>
            </w:r>
            <w:r w:rsidRPr="00EC5411">
              <w:rPr>
                <w:rFonts w:eastAsia="Times New Roman" w:cstheme="minorHAnsi"/>
                <w:color w:val="000000"/>
                <w:sz w:val="24"/>
                <w:szCs w:val="24"/>
                <w:lang w:eastAsia="pt-BR"/>
              </w:rPr>
              <w:t>.</w:t>
            </w:r>
          </w:p>
        </w:tc>
      </w:tr>
      <w:tr w:rsidR="00EC5411" w:rsidRPr="00EC5411" w14:paraId="2C7075A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E19C51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0,5% Superfície Territorial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DAA39B3"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4731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a área total percentual de superfície territorial, por município, conforme informação extraída do site do IBGE.</w:t>
            </w:r>
          </w:p>
        </w:tc>
      </w:tr>
      <w:tr w:rsidR="00EC5411" w:rsidRPr="00EC5411" w14:paraId="34616B40"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15E4CE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0,5% População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9B90D76"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6561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Relaciona o cálculo ao total de habitantes, por município, conforme informação extraída do site do IBGE.</w:t>
            </w:r>
          </w:p>
        </w:tc>
      </w:tr>
      <w:tr w:rsidR="00EC5411" w:rsidRPr="00EC5411" w14:paraId="0054CC21"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85C474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14% Divisão Igual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26234A"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49AD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Mostra o resultado da divisão do percentual de 14%, conforme previsto no decreto 11908/05, dividido pela quantidade de municípios do estado de Rondônia.</w:t>
            </w:r>
          </w:p>
        </w:tc>
      </w:tr>
      <w:tr w:rsidR="00EC5411" w:rsidRPr="00EC5411" w14:paraId="0040AAF2"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027AD1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100% Apuração IPM</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D27E715"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8DA7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Reúne os coeficientes de todos os fatores e mostra o cálculo do IPM.</w:t>
            </w:r>
          </w:p>
        </w:tc>
      </w:tr>
    </w:tbl>
    <w:p w14:paraId="4BEAB87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6B4848F" w14:textId="77777777" w:rsidR="00EC5411" w:rsidRPr="00EC5411" w:rsidRDefault="00EC5411" w:rsidP="00EC5411">
      <w:pPr>
        <w:spacing w:after="165" w:line="240" w:lineRule="auto"/>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25 – Secretaria de Estado de Desenvolvimento Ambiental</w:t>
      </w:r>
    </w:p>
    <w:p w14:paraId="564E0816"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7500"/>
      </w:tblGrid>
      <w:tr w:rsidR="00EC5411" w:rsidRPr="00EC5411" w14:paraId="00380AA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0A991F4B" w14:textId="77777777" w:rsidR="00EC5411" w:rsidRPr="00EC5411" w:rsidRDefault="00EC5411" w:rsidP="00EC5411">
            <w:pPr>
              <w:spacing w:before="100" w:beforeAutospacing="1" w:after="100" w:afterAutospacing="1" w:line="240" w:lineRule="auto"/>
              <w:outlineLvl w:val="0"/>
              <w:rPr>
                <w:rFonts w:eastAsia="Times New Roman" w:cstheme="minorHAnsi"/>
                <w:b/>
                <w:bCs/>
                <w:color w:val="000000"/>
                <w:kern w:val="36"/>
                <w:sz w:val="24"/>
                <w:szCs w:val="24"/>
                <w:lang w:eastAsia="pt-BR"/>
              </w:rPr>
            </w:pPr>
            <w:bookmarkStart w:id="25" w:name="_Toc122521760"/>
            <w:r w:rsidRPr="00EC5411">
              <w:rPr>
                <w:rFonts w:eastAsia="Times New Roman" w:cstheme="minorHAnsi"/>
                <w:b/>
                <w:bCs/>
                <w:color w:val="000000"/>
                <w:kern w:val="36"/>
                <w:sz w:val="24"/>
                <w:szCs w:val="24"/>
                <w:lang w:eastAsia="pt-BR"/>
              </w:rPr>
              <w:t>Solução FISCONFORME (Malhas Fiscais)</w:t>
            </w:r>
            <w:bookmarkEnd w:id="25"/>
          </w:p>
          <w:p w14:paraId="2F5237E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r>
      <w:tr w:rsidR="00EC5411" w:rsidRPr="00EC5411" w14:paraId="5EF99DE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FCE80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O FISCONFORME é um programa de governo que visa construir, através da autorregularização, um ambiente tributário justo, que não gere desiquilíbrio nas condições de concorrência e que favoreça o crescimento dos negócios. Na busca por estes objetivos, disponibiliza informações que facilitarão a identificação e correção de eventuais desconformidades - evitando aplicações de penalidades pecuniárias -, bem como tratamento diferenciado para aqueles que cumprem adequadamente com suas obrigações tributárias visando sempre alcançar a justiça fiscal, que é o grande objetivo do programa.</w:t>
            </w:r>
          </w:p>
          <w:p w14:paraId="015D519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740F22C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Endereço: </w:t>
            </w:r>
            <w:hyperlink r:id="rId8" w:tgtFrame="_blank" w:history="1">
              <w:r w:rsidRPr="00EC5411">
                <w:rPr>
                  <w:rFonts w:eastAsia="Times New Roman" w:cstheme="minorHAnsi"/>
                  <w:color w:val="0000FF"/>
                  <w:sz w:val="24"/>
                  <w:szCs w:val="24"/>
                  <w:u w:val="single"/>
                  <w:lang w:eastAsia="pt-BR"/>
                </w:rPr>
                <w:t>fisconforme.sefin.ro.gov.br</w:t>
              </w:r>
            </w:hyperlink>
          </w:p>
          <w:p w14:paraId="03B5BEB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6E62CA5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r>
    </w:tbl>
    <w:p w14:paraId="292CBF5B" w14:textId="77777777" w:rsidR="00EC5411" w:rsidRPr="00EC5411" w:rsidRDefault="00EC5411" w:rsidP="00EC5411">
      <w:pPr>
        <w:spacing w:after="0" w:line="240" w:lineRule="auto"/>
        <w:rPr>
          <w:rFonts w:eastAsia="Times New Roman" w:cstheme="minorHAnsi"/>
          <w:vanish/>
          <w:sz w:val="24"/>
          <w:szCs w:val="24"/>
          <w:lang w:eastAsia="pt-BR"/>
        </w:rPr>
      </w:pP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80"/>
        <w:gridCol w:w="1682"/>
        <w:gridCol w:w="1198"/>
        <w:gridCol w:w="2853"/>
        <w:gridCol w:w="87"/>
      </w:tblGrid>
      <w:tr w:rsidR="00EC5411" w:rsidRPr="00EC5411" w14:paraId="358BE6CB" w14:textId="77777777" w:rsidTr="00EC5411">
        <w:trPr>
          <w:gridAfter w:val="1"/>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4B5BE4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bookmarkStart w:id="26" w:name="RANGE!B9"/>
            <w:r w:rsidRPr="00EC5411">
              <w:rPr>
                <w:rFonts w:eastAsia="Times New Roman" w:cstheme="minorHAnsi"/>
                <w:color w:val="000000"/>
                <w:sz w:val="24"/>
                <w:szCs w:val="24"/>
                <w:lang w:eastAsia="pt-BR"/>
              </w:rPr>
              <w:t>Malhas Fiscais</w:t>
            </w:r>
            <w:bookmarkEnd w:id="26"/>
          </w:p>
        </w:tc>
        <w:tc>
          <w:tcPr>
            <w:tcW w:w="0" w:type="auto"/>
            <w:tcBorders>
              <w:top w:val="outset" w:sz="6" w:space="0" w:color="auto"/>
              <w:left w:val="outset" w:sz="6" w:space="0" w:color="auto"/>
              <w:bottom w:val="outset" w:sz="6" w:space="0" w:color="auto"/>
              <w:right w:val="outset" w:sz="6" w:space="0" w:color="auto"/>
            </w:tcBorders>
            <w:vAlign w:val="center"/>
            <w:hideMark/>
          </w:tcPr>
          <w:p w14:paraId="3B50A64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0086D8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Atualização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E5FA00C"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Classificação das Pendências</w:t>
            </w:r>
          </w:p>
        </w:tc>
      </w:tr>
      <w:tr w:rsidR="00EC5411" w:rsidRPr="00EC5411" w14:paraId="51FF4542" w14:textId="77777777" w:rsidTr="00EC5411">
        <w:trPr>
          <w:gridAfter w:val="1"/>
          <w:trHeight w:val="476"/>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21CC1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Omissão de Entrega de Declaração - EFD</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9F801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falta de entrega da Escrituração Fiscal Digital - EFD do contribuinte no período da consulta.</w:t>
            </w:r>
          </w:p>
        </w:tc>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4C020E9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Mensal</w:t>
            </w:r>
          </w:p>
        </w:tc>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05F63942"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 Pendente;</w:t>
            </w:r>
            <w:r w:rsidRPr="00EC5411">
              <w:rPr>
                <w:rFonts w:eastAsia="Times New Roman" w:cstheme="minorHAnsi"/>
                <w:color w:val="000000"/>
                <w:sz w:val="24"/>
                <w:szCs w:val="24"/>
                <w:lang w:eastAsia="pt-BR"/>
              </w:rPr>
              <w:br/>
              <w:t>2) Contestado;</w:t>
            </w:r>
            <w:r w:rsidRPr="00EC5411">
              <w:rPr>
                <w:rFonts w:eastAsia="Times New Roman" w:cstheme="minorHAnsi"/>
                <w:color w:val="000000"/>
                <w:sz w:val="24"/>
                <w:szCs w:val="24"/>
                <w:lang w:eastAsia="pt-BR"/>
              </w:rPr>
              <w:br/>
              <w:t>3) Resolvido;</w:t>
            </w:r>
            <w:r w:rsidRPr="00EC5411">
              <w:rPr>
                <w:rFonts w:eastAsia="Times New Roman" w:cstheme="minorHAnsi"/>
                <w:color w:val="000000"/>
                <w:sz w:val="24"/>
                <w:szCs w:val="24"/>
                <w:lang w:eastAsia="pt-BR"/>
              </w:rPr>
              <w:br/>
              <w:t>4) Ação Fiscal;</w:t>
            </w:r>
            <w:r w:rsidRPr="00EC5411">
              <w:rPr>
                <w:rFonts w:eastAsia="Times New Roman" w:cstheme="minorHAnsi"/>
                <w:color w:val="000000"/>
                <w:sz w:val="24"/>
                <w:szCs w:val="24"/>
                <w:lang w:eastAsia="pt-BR"/>
              </w:rPr>
              <w:br/>
              <w:t>5) Pendente Indeferido;</w:t>
            </w:r>
            <w:r w:rsidRPr="00EC5411">
              <w:rPr>
                <w:rFonts w:eastAsia="Times New Roman" w:cstheme="minorHAnsi"/>
                <w:color w:val="000000"/>
                <w:sz w:val="24"/>
                <w:szCs w:val="24"/>
                <w:lang w:eastAsia="pt-BR"/>
              </w:rPr>
              <w:br/>
              <w:t>6) Resolvido Deferido;</w:t>
            </w:r>
            <w:r w:rsidRPr="00EC5411">
              <w:rPr>
                <w:rFonts w:eastAsia="Times New Roman" w:cstheme="minorHAnsi"/>
                <w:color w:val="000000"/>
                <w:sz w:val="24"/>
                <w:szCs w:val="24"/>
                <w:lang w:eastAsia="pt-BR"/>
              </w:rPr>
              <w:br/>
              <w:t>7) Notificado;</w:t>
            </w:r>
            <w:r w:rsidRPr="00EC5411">
              <w:rPr>
                <w:rFonts w:eastAsia="Times New Roman" w:cstheme="minorHAnsi"/>
                <w:color w:val="000000"/>
                <w:sz w:val="24"/>
                <w:szCs w:val="24"/>
                <w:lang w:eastAsia="pt-BR"/>
              </w:rPr>
              <w:br/>
              <w:t>8) Deferido Automático.</w:t>
            </w:r>
          </w:p>
        </w:tc>
      </w:tr>
      <w:tr w:rsidR="00EC5411" w:rsidRPr="00EC5411" w14:paraId="1C5BB0E6"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910DC3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DD8273"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E2466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B3A1F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9D561"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39BD46C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9E260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Falta de Registro de NF-</w:t>
            </w:r>
            <w:r w:rsidRPr="00EC5411">
              <w:rPr>
                <w:rFonts w:eastAsia="Times New Roman" w:cstheme="minorHAnsi"/>
                <w:color w:val="000000"/>
                <w:sz w:val="24"/>
                <w:szCs w:val="24"/>
                <w:lang w:eastAsia="pt-BR"/>
              </w:rPr>
              <w:lastRenderedPageBreak/>
              <w:t>e de Saída da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6609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 xml:space="preserve">Verifica a falta de registro de </w:t>
            </w:r>
            <w:r w:rsidRPr="00EC5411">
              <w:rPr>
                <w:rFonts w:eastAsia="Times New Roman" w:cstheme="minorHAnsi"/>
                <w:color w:val="000000"/>
                <w:sz w:val="24"/>
                <w:szCs w:val="24"/>
                <w:lang w:eastAsia="pt-BR"/>
              </w:rPr>
              <w:lastRenderedPageBreak/>
              <w:t xml:space="preserve">Notas Fiscais Eletrônicas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e Nota Fiscal de Consumidor Eletrônica - </w:t>
            </w:r>
            <w:proofErr w:type="spellStart"/>
            <w:r w:rsidRPr="00EC5411">
              <w:rPr>
                <w:rFonts w:eastAsia="Times New Roman" w:cstheme="minorHAnsi"/>
                <w:color w:val="000000"/>
                <w:sz w:val="24"/>
                <w:szCs w:val="24"/>
                <w:lang w:eastAsia="pt-BR"/>
              </w:rPr>
              <w:t>NFCe</w:t>
            </w:r>
            <w:proofErr w:type="spellEnd"/>
            <w:r w:rsidRPr="00EC5411">
              <w:rPr>
                <w:rFonts w:eastAsia="Times New Roman" w:cstheme="minorHAnsi"/>
                <w:color w:val="000000"/>
                <w:sz w:val="24"/>
                <w:szCs w:val="24"/>
                <w:lang w:eastAsia="pt-BR"/>
              </w:rPr>
              <w:t xml:space="preserve"> emitidas pelo contribuinte na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537C1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CC108F"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75A44378"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1200085D"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52428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Falta de Registro de NF-e de Entrada - Importação - na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FDC6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a falta de escrituração de Notas Fiscais Eletrônicas -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importação na Escrituração Fiscal Digital - EFD do contribuinte (registro C100).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47830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7AB06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33CE7234"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470F9B61"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4D989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no Valor do ICMS - NF-e x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403F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diferenças entre o valor do ICMS destacado nas Notas Fiscais Eletrônicas (modelo 55 e modelo 65) emitidas e o valor declarado na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79FC0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C61000"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0660B515"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783D316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C8AD4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Aproveitamento de Crédito - NF-e Canceladas ou Denegadas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C833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apropriação indevida de créditos fiscais oriundos de Notas Fiscais Eletrônicas modelo 55 canceladas ou denegadas no Registro C100 da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32A993"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A0491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0420C549"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5AB50C78"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9CF28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de Receita Bruta - NF-e x PGDAS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0917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durante o período objeto </w:t>
            </w:r>
            <w:r w:rsidRPr="00EC5411">
              <w:rPr>
                <w:rFonts w:eastAsia="Times New Roman" w:cstheme="minorHAnsi"/>
                <w:color w:val="000000"/>
                <w:sz w:val="24"/>
                <w:szCs w:val="24"/>
                <w:lang w:eastAsia="pt-BR"/>
              </w:rPr>
              <w:lastRenderedPageBreak/>
              <w:t xml:space="preserve">da consulta, omissões de receitas, apuradas através do confronto entre as Notas Fiscais Eletrônicas (modelo 55 e modelo 65) emitidas pelo contribuinte e/ou das informações de meios de pagamento eletrônicos fornecidas pelas instituições de pagamento e a receita bruta total declarada no Programa Gerador do Documento de Arrecadação do Simples - PGDAS-D. O agrupamento do tipo de tributação do Simples Nacional é realizado através da relação dos </w:t>
            </w:r>
            <w:proofErr w:type="spellStart"/>
            <w:r w:rsidRPr="00EC5411">
              <w:rPr>
                <w:rFonts w:eastAsia="Times New Roman" w:cstheme="minorHAnsi"/>
                <w:color w:val="000000"/>
                <w:sz w:val="24"/>
                <w:szCs w:val="24"/>
                <w:lang w:eastAsia="pt-BR"/>
              </w:rPr>
              <w:t>CFOP´s</w:t>
            </w:r>
            <w:proofErr w:type="spellEnd"/>
            <w:r w:rsidRPr="00EC5411">
              <w:rPr>
                <w:rFonts w:eastAsia="Times New Roman" w:cstheme="minorHAnsi"/>
                <w:color w:val="000000"/>
                <w:sz w:val="24"/>
                <w:szCs w:val="24"/>
                <w:lang w:eastAsia="pt-BR"/>
              </w:rPr>
              <w:t xml:space="preserve"> informados nos itens das notas fiscais emitidas e/ou destinadas ao contribuinte (devoluções), conjuntamente com o CSOSN informado nas respectivas operações. Os meios de pagamento eletrônico levam em consideração </w:t>
            </w:r>
            <w:r w:rsidRPr="00EC5411">
              <w:rPr>
                <w:rFonts w:eastAsia="Times New Roman" w:cstheme="minorHAnsi"/>
                <w:color w:val="000000"/>
                <w:sz w:val="24"/>
                <w:szCs w:val="24"/>
                <w:lang w:eastAsia="pt-BR"/>
              </w:rPr>
              <w:lastRenderedPageBreak/>
              <w:t xml:space="preserve">operações realizadas por meio de cartões (débito e crédito), plataformas de delivery e </w:t>
            </w:r>
            <w:proofErr w:type="spellStart"/>
            <w:r w:rsidRPr="00EC5411">
              <w:rPr>
                <w:rFonts w:eastAsia="Times New Roman" w:cstheme="minorHAnsi"/>
                <w:color w:val="000000"/>
                <w:sz w:val="24"/>
                <w:szCs w:val="24"/>
                <w:lang w:eastAsia="pt-BR"/>
              </w:rPr>
              <w:t>marketplaces</w:t>
            </w:r>
            <w:proofErr w:type="spellEnd"/>
            <w:r w:rsidRPr="00EC5411">
              <w:rPr>
                <w:rFonts w:eastAsia="Times New Roman" w:cstheme="minorHAnsi"/>
                <w:color w:val="000000"/>
                <w:sz w:val="24"/>
                <w:szCs w:val="24"/>
                <w:lang w:eastAsia="pt-BR"/>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AA3298"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639DF4"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58AF5DF9"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12310EC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AC50D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Omissão do Registro 1300 no SPED</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AAC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falta de informação do Registro 1300 – Movimentação Diária de Combustíveis na Escrituração Fiscal Digital - EFD do contribuinte no período indicado.</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596A04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900F9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57B33CD1"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3EA0E9CE"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10642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Malhas Fiscais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2DFC63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360A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Atualização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0B7FE"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Classificação das Pendências</w:t>
            </w:r>
          </w:p>
        </w:tc>
        <w:tc>
          <w:tcPr>
            <w:tcW w:w="0" w:type="auto"/>
            <w:vAlign w:val="center"/>
            <w:hideMark/>
          </w:tcPr>
          <w:p w14:paraId="287F81BD"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317B7469"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365BE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Crédito Ativo Imobilizado sem ou com diferença de vir no BL G</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6F8AA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inconsistências na escrituração de crédito de ICMS relacionado a bem destinado ao ATIVO IMOBILIZADO. Compara as informações do bloco G (CIAP) com o ajuste de crédito do registro E111 (código ajustes RO020021).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25E55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Mensal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DBB31E"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 Pendente;</w:t>
            </w:r>
            <w:r w:rsidRPr="00EC5411">
              <w:rPr>
                <w:rFonts w:eastAsia="Times New Roman" w:cstheme="minorHAnsi"/>
                <w:color w:val="000000"/>
                <w:sz w:val="24"/>
                <w:szCs w:val="24"/>
                <w:lang w:eastAsia="pt-BR"/>
              </w:rPr>
              <w:br/>
              <w:t>2) Contestado;</w:t>
            </w:r>
            <w:r w:rsidRPr="00EC5411">
              <w:rPr>
                <w:rFonts w:eastAsia="Times New Roman" w:cstheme="minorHAnsi"/>
                <w:color w:val="000000"/>
                <w:sz w:val="24"/>
                <w:szCs w:val="24"/>
                <w:lang w:eastAsia="pt-BR"/>
              </w:rPr>
              <w:br/>
              <w:t>3) Resolvido;</w:t>
            </w:r>
            <w:r w:rsidRPr="00EC5411">
              <w:rPr>
                <w:rFonts w:eastAsia="Times New Roman" w:cstheme="minorHAnsi"/>
                <w:color w:val="000000"/>
                <w:sz w:val="24"/>
                <w:szCs w:val="24"/>
                <w:lang w:eastAsia="pt-BR"/>
              </w:rPr>
              <w:br/>
              <w:t>4) Ação Fiscal;</w:t>
            </w:r>
            <w:r w:rsidRPr="00EC5411">
              <w:rPr>
                <w:rFonts w:eastAsia="Times New Roman" w:cstheme="minorHAnsi"/>
                <w:color w:val="000000"/>
                <w:sz w:val="24"/>
                <w:szCs w:val="24"/>
                <w:lang w:eastAsia="pt-BR"/>
              </w:rPr>
              <w:br/>
              <w:t>5) Pendente Indeferido;</w:t>
            </w:r>
            <w:r w:rsidRPr="00EC5411">
              <w:rPr>
                <w:rFonts w:eastAsia="Times New Roman" w:cstheme="minorHAnsi"/>
                <w:color w:val="000000"/>
                <w:sz w:val="24"/>
                <w:szCs w:val="24"/>
                <w:lang w:eastAsia="pt-BR"/>
              </w:rPr>
              <w:br/>
              <w:t>6) Resolvido Deferido;</w:t>
            </w:r>
            <w:r w:rsidRPr="00EC5411">
              <w:rPr>
                <w:rFonts w:eastAsia="Times New Roman" w:cstheme="minorHAnsi"/>
                <w:color w:val="000000"/>
                <w:sz w:val="24"/>
                <w:szCs w:val="24"/>
                <w:lang w:eastAsia="pt-BR"/>
              </w:rPr>
              <w:br/>
              <w:t>7) Notificado;</w:t>
            </w:r>
            <w:r w:rsidRPr="00EC5411">
              <w:rPr>
                <w:rFonts w:eastAsia="Times New Roman" w:cstheme="minorHAnsi"/>
                <w:color w:val="000000"/>
                <w:sz w:val="24"/>
                <w:szCs w:val="24"/>
                <w:lang w:eastAsia="pt-BR"/>
              </w:rPr>
              <w:br/>
              <w:t>8) Deferido Automático.</w:t>
            </w:r>
          </w:p>
        </w:tc>
        <w:tc>
          <w:tcPr>
            <w:tcW w:w="0" w:type="auto"/>
            <w:vAlign w:val="center"/>
            <w:hideMark/>
          </w:tcPr>
          <w:p w14:paraId="6F733314"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0CC04A8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2DBA9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5BC92F"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1EEDD"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753F2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44463"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376EF30E"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F8F31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929A7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3C8A4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922886"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98F65"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22C3F388"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6F2000"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2B7784"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94E2C8"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CD1F13"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DDEAA"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72B4AB6A"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2625EB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D8F9D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F6432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7B7EB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93861"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638D8449"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20FAF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Crédito Integral de Ativo Imobilizado</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C08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inconsistências na escrituração de crédito do ICMS relativo a bem destinado ao ATIVO IMOBILIZADO, especificamente nos registros de entradas relacionados com os CFOP </w:t>
            </w:r>
            <w:r w:rsidRPr="00EC5411">
              <w:rPr>
                <w:rFonts w:eastAsia="Times New Roman" w:cstheme="minorHAnsi"/>
                <w:color w:val="000000"/>
                <w:sz w:val="24"/>
                <w:szCs w:val="24"/>
                <w:lang w:eastAsia="pt-BR"/>
              </w:rPr>
              <w:lastRenderedPageBreak/>
              <w:t xml:space="preserve">1551, 1552, 2551 e 2552. As inconsistências estão associadas ao preenchimento do campo VL ICMS do registro C100, C190 e/ou C170, com o valor destacado na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entrada.</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60DE87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9CABC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6B778746"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5D85BA16"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18C81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Crédito uso ou consumo</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504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inconsistências na escrituração de crédito do ICMS relativo à mercadoria destinada ao uso ou consumo. Especificamente nos registros de entradas relacionados com os CFOP 1556, 1557, 2556 e 2557 da Escrituração Fiscal Digital - EFD. As inconsistências estão associadas ao preenchimento do campo VL ICMS do registro C100, C190 e/ou C170 com o valor destacado na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entrada.</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31B4E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58DC1"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174C19C8" w14:textId="77777777" w:rsidR="00EC5411" w:rsidRPr="00EC5411" w:rsidRDefault="00EC5411" w:rsidP="00EC5411">
            <w:pPr>
              <w:spacing w:after="0" w:line="240" w:lineRule="auto"/>
              <w:rPr>
                <w:rFonts w:eastAsia="Times New Roman" w:cstheme="minorHAnsi"/>
                <w:sz w:val="24"/>
                <w:szCs w:val="24"/>
                <w:lang w:eastAsia="pt-BR"/>
              </w:rPr>
            </w:pPr>
          </w:p>
        </w:tc>
      </w:tr>
      <w:tr w:rsidR="00EC5411" w:rsidRPr="00EC5411" w14:paraId="4661DBCB"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40D32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Ausência de Manifestação do Destinatário na NF-e</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268D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a ausência de registro de evento referente à manifestação conclusiva acerca da </w:t>
            </w:r>
            <w:r w:rsidRPr="00EC5411">
              <w:rPr>
                <w:rFonts w:eastAsia="Times New Roman" w:cstheme="minorHAnsi"/>
                <w:color w:val="000000"/>
                <w:sz w:val="24"/>
                <w:szCs w:val="24"/>
                <w:lang w:eastAsia="pt-BR"/>
              </w:rPr>
              <w:lastRenderedPageBreak/>
              <w:t>realização das operações descritas nas notas fiscais eletrônicas – NF-e.</w:t>
            </w:r>
          </w:p>
          <w:p w14:paraId="39AD1E4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6F74A4"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DA922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Align w:val="center"/>
            <w:hideMark/>
          </w:tcPr>
          <w:p w14:paraId="3B264640" w14:textId="77777777" w:rsidR="00EC5411" w:rsidRPr="00EC5411" w:rsidRDefault="00EC5411" w:rsidP="00EC5411">
            <w:pPr>
              <w:spacing w:after="0" w:line="240" w:lineRule="auto"/>
              <w:rPr>
                <w:rFonts w:eastAsia="Times New Roman" w:cstheme="minorHAnsi"/>
                <w:sz w:val="24"/>
                <w:szCs w:val="24"/>
                <w:lang w:eastAsia="pt-BR"/>
              </w:rPr>
            </w:pPr>
          </w:p>
        </w:tc>
      </w:tr>
    </w:tbl>
    <w:p w14:paraId="3339CCB8"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B6F7DBE"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63"/>
        <w:gridCol w:w="3183"/>
        <w:gridCol w:w="1198"/>
        <w:gridCol w:w="1356"/>
      </w:tblGrid>
      <w:tr w:rsidR="00EC5411" w:rsidRPr="00EC5411" w14:paraId="6DDDDAA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B8AD3D" w14:textId="6E657702"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Malhas Fiscais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CDAE16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4067AB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Atualização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DDAC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Classificação das Pendências</w:t>
            </w:r>
          </w:p>
        </w:tc>
      </w:tr>
      <w:tr w:rsidR="00EC5411" w:rsidRPr="00EC5411" w14:paraId="6F2C3B91"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1A2FE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Crédito Fiscal Oriundo de Nota Fiscal Modelo 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BA44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apropriação de crédito fiscal Escrituração Fiscal Digital - EFD por meio de nota fiscal modelo 1.</w:t>
            </w:r>
          </w:p>
        </w:tc>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29CA1408"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Mensal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6F4163"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 Pendente;</w:t>
            </w:r>
            <w:r w:rsidRPr="00EC5411">
              <w:rPr>
                <w:rFonts w:eastAsia="Times New Roman" w:cstheme="minorHAnsi"/>
                <w:color w:val="000000"/>
                <w:sz w:val="24"/>
                <w:szCs w:val="24"/>
                <w:lang w:eastAsia="pt-BR"/>
              </w:rPr>
              <w:br/>
              <w:t>2) Contestado;</w:t>
            </w:r>
            <w:r w:rsidRPr="00EC5411">
              <w:rPr>
                <w:rFonts w:eastAsia="Times New Roman" w:cstheme="minorHAnsi"/>
                <w:color w:val="000000"/>
                <w:sz w:val="24"/>
                <w:szCs w:val="24"/>
                <w:lang w:eastAsia="pt-BR"/>
              </w:rPr>
              <w:br/>
              <w:t>3) Resolvido;</w:t>
            </w:r>
            <w:r w:rsidRPr="00EC5411">
              <w:rPr>
                <w:rFonts w:eastAsia="Times New Roman" w:cstheme="minorHAnsi"/>
                <w:color w:val="000000"/>
                <w:sz w:val="24"/>
                <w:szCs w:val="24"/>
                <w:lang w:eastAsia="pt-BR"/>
              </w:rPr>
              <w:br/>
              <w:t>4) Ação Fiscal;</w:t>
            </w:r>
            <w:r w:rsidRPr="00EC5411">
              <w:rPr>
                <w:rFonts w:eastAsia="Times New Roman" w:cstheme="minorHAnsi"/>
                <w:color w:val="000000"/>
                <w:sz w:val="24"/>
                <w:szCs w:val="24"/>
                <w:lang w:eastAsia="pt-BR"/>
              </w:rPr>
              <w:br/>
              <w:t>5) Pendente Indeferido;</w:t>
            </w:r>
            <w:r w:rsidRPr="00EC5411">
              <w:rPr>
                <w:rFonts w:eastAsia="Times New Roman" w:cstheme="minorHAnsi"/>
                <w:color w:val="000000"/>
                <w:sz w:val="24"/>
                <w:szCs w:val="24"/>
                <w:lang w:eastAsia="pt-BR"/>
              </w:rPr>
              <w:br/>
              <w:t>6) Resolvido Deferido;</w:t>
            </w:r>
            <w:r w:rsidRPr="00EC5411">
              <w:rPr>
                <w:rFonts w:eastAsia="Times New Roman" w:cstheme="minorHAnsi"/>
                <w:color w:val="000000"/>
                <w:sz w:val="24"/>
                <w:szCs w:val="24"/>
                <w:lang w:eastAsia="pt-BR"/>
              </w:rPr>
              <w:br/>
              <w:t>7) Notificado;</w:t>
            </w:r>
            <w:r w:rsidRPr="00EC5411">
              <w:rPr>
                <w:rFonts w:eastAsia="Times New Roman" w:cstheme="minorHAnsi"/>
                <w:color w:val="000000"/>
                <w:sz w:val="24"/>
                <w:szCs w:val="24"/>
                <w:lang w:eastAsia="pt-BR"/>
              </w:rPr>
              <w:br/>
              <w:t>8) Deferido Automático.</w:t>
            </w:r>
          </w:p>
        </w:tc>
      </w:tr>
      <w:tr w:rsidR="00EC5411" w:rsidRPr="00EC5411" w14:paraId="47EA3B3C"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F62A4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Crédito EFD diferente do destacado na NF-e</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FCDC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inconsistências na escrituração de crédito de ICMS na Escrituração Fiscal Digital - EFD relacionadas com o registro do campo VL_ICMS do Bloco C (C100, C170 e C190) sem equivalente destaque na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entrada ou com valor superior ao destacado na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entrada.</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459CFD"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A46603"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037131DA"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EF44D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Crédito de NF-e do Simples Nacional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0AFF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inconsistências na escrituração de crédito de ICMS na Escrituração Fiscal Digital - EFD relacionadas com o registro do campo VL_ICMS do Bloco C (C100, C170 e C190) com valor superior a zero quando 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escriturada foi emitida por optante do Simples Nacional.</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DC6CA0"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402FA8"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50764E8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92284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Ausência de Registro de Entrada de NF-e na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DCF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ausência de registro de Notas Fiscais Eletrônicas - NF-e destinadas a contribuinte obrigado à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CA35D8"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805CD6"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672CED58"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AEF07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Falta de Registro de CT-</w:t>
            </w:r>
            <w:proofErr w:type="gramStart"/>
            <w:r w:rsidRPr="00EC5411">
              <w:rPr>
                <w:rFonts w:eastAsia="Times New Roman" w:cstheme="minorHAnsi"/>
                <w:color w:val="000000"/>
                <w:sz w:val="24"/>
                <w:szCs w:val="24"/>
                <w:lang w:eastAsia="pt-BR"/>
              </w:rPr>
              <w:t>e Emitidos</w:t>
            </w:r>
            <w:proofErr w:type="gramEnd"/>
            <w:r w:rsidRPr="00EC5411">
              <w:rPr>
                <w:rFonts w:eastAsia="Times New Roman" w:cstheme="minorHAnsi"/>
                <w:color w:val="000000"/>
                <w:sz w:val="24"/>
                <w:szCs w:val="24"/>
                <w:lang w:eastAsia="pt-BR"/>
              </w:rPr>
              <w:t xml:space="preserve"> na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B451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ausência de registro de Conhecimento de Transporte Eletrônico - CT-e emitidos pelo contribuinte na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A670F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48F6B3"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4227026A"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9A2B4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no Valor do ICMS - CT-e x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B0DB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a diferença entre o valor do ICMS destacado nos Conhecimentos de Transporte Eletrônico - CT-e emitidos pelo </w:t>
            </w:r>
            <w:r w:rsidRPr="00EC5411">
              <w:rPr>
                <w:rFonts w:eastAsia="Times New Roman" w:cstheme="minorHAnsi"/>
                <w:color w:val="000000"/>
                <w:sz w:val="24"/>
                <w:szCs w:val="24"/>
                <w:lang w:eastAsia="pt-BR"/>
              </w:rPr>
              <w:lastRenderedPageBreak/>
              <w:t>contribuinte e o declarado na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CA3E42"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AC351D4"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3E051E4D"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94728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no transporte de crédito acumulado para o período seguinte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A6C9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inconsistência no transporte de crédito acumulado na Escrituração Fiscal Digital - EFD para o período seguinte. Especificamente se o crédito transportado encontra correspondência na EFD anterior.</w:t>
            </w:r>
          </w:p>
        </w:tc>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0C251568"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Mensal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2F8F2"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 Pendente;</w:t>
            </w:r>
            <w:r w:rsidRPr="00EC5411">
              <w:rPr>
                <w:rFonts w:eastAsia="Times New Roman" w:cstheme="minorHAnsi"/>
                <w:color w:val="000000"/>
                <w:sz w:val="24"/>
                <w:szCs w:val="24"/>
                <w:lang w:eastAsia="pt-BR"/>
              </w:rPr>
              <w:br/>
              <w:t>2) Contestado;</w:t>
            </w:r>
            <w:r w:rsidRPr="00EC5411">
              <w:rPr>
                <w:rFonts w:eastAsia="Times New Roman" w:cstheme="minorHAnsi"/>
                <w:color w:val="000000"/>
                <w:sz w:val="24"/>
                <w:szCs w:val="24"/>
                <w:lang w:eastAsia="pt-BR"/>
              </w:rPr>
              <w:br/>
              <w:t>3) Resolvido;</w:t>
            </w:r>
            <w:r w:rsidRPr="00EC5411">
              <w:rPr>
                <w:rFonts w:eastAsia="Times New Roman" w:cstheme="minorHAnsi"/>
                <w:color w:val="000000"/>
                <w:sz w:val="24"/>
                <w:szCs w:val="24"/>
                <w:lang w:eastAsia="pt-BR"/>
              </w:rPr>
              <w:br/>
              <w:t>4) Ação Fiscal;</w:t>
            </w:r>
            <w:r w:rsidRPr="00EC5411">
              <w:rPr>
                <w:rFonts w:eastAsia="Times New Roman" w:cstheme="minorHAnsi"/>
                <w:color w:val="000000"/>
                <w:sz w:val="24"/>
                <w:szCs w:val="24"/>
                <w:lang w:eastAsia="pt-BR"/>
              </w:rPr>
              <w:br/>
              <w:t>5) Pendente Indeferido;</w:t>
            </w:r>
            <w:r w:rsidRPr="00EC5411">
              <w:rPr>
                <w:rFonts w:eastAsia="Times New Roman" w:cstheme="minorHAnsi"/>
                <w:color w:val="000000"/>
                <w:sz w:val="24"/>
                <w:szCs w:val="24"/>
                <w:lang w:eastAsia="pt-BR"/>
              </w:rPr>
              <w:br/>
              <w:t>6) Resolvido Deferido;</w:t>
            </w:r>
            <w:r w:rsidRPr="00EC5411">
              <w:rPr>
                <w:rFonts w:eastAsia="Times New Roman" w:cstheme="minorHAnsi"/>
                <w:color w:val="000000"/>
                <w:sz w:val="24"/>
                <w:szCs w:val="24"/>
                <w:lang w:eastAsia="pt-BR"/>
              </w:rPr>
              <w:br/>
              <w:t>7) Notificado;</w:t>
            </w:r>
            <w:r w:rsidRPr="00EC5411">
              <w:rPr>
                <w:rFonts w:eastAsia="Times New Roman" w:cstheme="minorHAnsi"/>
                <w:color w:val="000000"/>
                <w:sz w:val="24"/>
                <w:szCs w:val="24"/>
                <w:lang w:eastAsia="pt-BR"/>
              </w:rPr>
              <w:br/>
              <w:t>8) Deferido Automático.</w:t>
            </w:r>
          </w:p>
        </w:tc>
      </w:tr>
      <w:tr w:rsidR="00EC5411" w:rsidRPr="00EC5411" w14:paraId="20D186EA"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68474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Omissão de Notas Fiscais de Cessão de Meios de Redes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2C6A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 ausência de escrituração de nota fiscal de comunicação (modelo 21 ou 22) na Escrituração Fiscal Digital - EFD. Especificamente nos registros D500 e D590.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0B00E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2E85D7"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7CB89D01"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131719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Ressarcimento ICMS ST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524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inconsistências na escrituração de ressarcimento de ICMS ST na Escrituração Fiscal Digital - EFD. Especificamente se os registros C170 e C176 das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saída que ensejam ressarcimento não convergem com os ajustes de ressarcimento dos registros E111 (códigos de ajustes RO020022 e RO020023).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64058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359598"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203A8BC3"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6C1B1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Falta de Registro de BP-</w:t>
            </w:r>
            <w:proofErr w:type="gramStart"/>
            <w:r w:rsidRPr="00EC5411">
              <w:rPr>
                <w:rFonts w:eastAsia="Times New Roman" w:cstheme="minorHAnsi"/>
                <w:color w:val="000000"/>
                <w:sz w:val="24"/>
                <w:szCs w:val="24"/>
                <w:lang w:eastAsia="pt-BR"/>
              </w:rPr>
              <w:t>e Emitidos</w:t>
            </w:r>
            <w:proofErr w:type="gramEnd"/>
            <w:r w:rsidRPr="00EC5411">
              <w:rPr>
                <w:rFonts w:eastAsia="Times New Roman" w:cstheme="minorHAnsi"/>
                <w:color w:val="000000"/>
                <w:sz w:val="24"/>
                <w:szCs w:val="24"/>
                <w:lang w:eastAsia="pt-BR"/>
              </w:rPr>
              <w:t xml:space="preserve"> na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772C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a falta de registro de Bilhete de Passagem Eletrônico - </w:t>
            </w:r>
            <w:proofErr w:type="spellStart"/>
            <w:r w:rsidRPr="00EC5411">
              <w:rPr>
                <w:rFonts w:eastAsia="Times New Roman" w:cstheme="minorHAnsi"/>
                <w:color w:val="000000"/>
                <w:sz w:val="24"/>
                <w:szCs w:val="24"/>
                <w:lang w:eastAsia="pt-BR"/>
              </w:rPr>
              <w:t>Bpe</w:t>
            </w:r>
            <w:proofErr w:type="spellEnd"/>
            <w:r w:rsidRPr="00EC5411">
              <w:rPr>
                <w:rFonts w:eastAsia="Times New Roman" w:cstheme="minorHAnsi"/>
                <w:color w:val="000000"/>
                <w:sz w:val="24"/>
                <w:szCs w:val="24"/>
                <w:lang w:eastAsia="pt-BR"/>
              </w:rPr>
              <w:t xml:space="preserve"> emitidos pelo contribuinte na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DA4190"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11F6EB"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2BC3B14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106B0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no Valor do ICMS - BP-e x EFD</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6549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diferenças entre o valor do ICMS destacado nos Bilhetes de Passagem Eletrônico emitidos e o declarado na Escrituração Fiscal Digital - EFD.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48F4E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E866FC"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0B39D93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75DC6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de Receita - NF (modelo 21 ou 22) x PGDAS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5E1F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diferença entre a receita apurada por meio das notas fiscais (modelo 21 e 22) emitidas pelo contribuinte e a segregada como atividade econômica comunicação sem substituição tributária no Programa Gerador do Documento de Arrecadação do Simples - PGDAS-D.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0AAC8D"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8A85C0"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6FAF09FC"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54ECAE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Omisso de Entrega de </w:t>
            </w:r>
            <w:r w:rsidRPr="00EC5411">
              <w:rPr>
                <w:rFonts w:eastAsia="Times New Roman" w:cstheme="minorHAnsi"/>
                <w:color w:val="000000"/>
                <w:sz w:val="24"/>
                <w:szCs w:val="24"/>
                <w:lang w:eastAsia="pt-BR"/>
              </w:rPr>
              <w:lastRenderedPageBreak/>
              <w:t>Arquivo previsto no Convênio 115/03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9E08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 xml:space="preserve">Verifica omissão de entrega do arquivo previsto no Convênio </w:t>
            </w:r>
            <w:r w:rsidRPr="00EC5411">
              <w:rPr>
                <w:rFonts w:eastAsia="Times New Roman" w:cstheme="minorHAnsi"/>
                <w:color w:val="000000"/>
                <w:sz w:val="24"/>
                <w:szCs w:val="24"/>
                <w:lang w:eastAsia="pt-BR"/>
              </w:rPr>
              <w:lastRenderedPageBreak/>
              <w:t xml:space="preserve">ICMS 115/03 pelos contribuintes que desenvolvem atividade econômica de telecomunicação, os quais são definidos com base no CNAE principal que consta no CAD/ICMS/RO, e se constaram como destinatários em nota fiscal de telecomunicação modelo 21 ou </w:t>
            </w:r>
            <w:proofErr w:type="gramStart"/>
            <w:r w:rsidRPr="00EC5411">
              <w:rPr>
                <w:rFonts w:eastAsia="Times New Roman" w:cstheme="minorHAnsi"/>
                <w:color w:val="000000"/>
                <w:sz w:val="24"/>
                <w:szCs w:val="24"/>
                <w:lang w:eastAsia="pt-BR"/>
              </w:rPr>
              <w:t>22 associada</w:t>
            </w:r>
            <w:proofErr w:type="gramEnd"/>
            <w:r w:rsidRPr="00EC5411">
              <w:rPr>
                <w:rFonts w:eastAsia="Times New Roman" w:cstheme="minorHAnsi"/>
                <w:color w:val="000000"/>
                <w:sz w:val="24"/>
                <w:szCs w:val="24"/>
                <w:lang w:eastAsia="pt-BR"/>
              </w:rPr>
              <w:t xml:space="preserve"> aos </w:t>
            </w:r>
            <w:proofErr w:type="spellStart"/>
            <w:r w:rsidRPr="00EC5411">
              <w:rPr>
                <w:rFonts w:eastAsia="Times New Roman" w:cstheme="minorHAnsi"/>
                <w:color w:val="000000"/>
                <w:sz w:val="24"/>
                <w:szCs w:val="24"/>
                <w:lang w:eastAsia="pt-BR"/>
              </w:rPr>
              <w:t>CFOP's</w:t>
            </w:r>
            <w:proofErr w:type="spellEnd"/>
            <w:r w:rsidRPr="00EC5411">
              <w:rPr>
                <w:rFonts w:eastAsia="Times New Roman" w:cstheme="minorHAnsi"/>
                <w:color w:val="000000"/>
                <w:sz w:val="24"/>
                <w:szCs w:val="24"/>
                <w:lang w:eastAsia="pt-BR"/>
              </w:rPr>
              <w:t xml:space="preserve"> 5301/6301 no período da consulta.</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B8274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C7FFDA"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7E26240E"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1F06C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Diferença de Receita Bruta - CT-e x PGDAS</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4C2D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divergência entre a receita apurada por meio dos Conhecimento de Transporte Eletrônico - </w:t>
            </w:r>
            <w:proofErr w:type="spellStart"/>
            <w:r w:rsidRPr="00EC5411">
              <w:rPr>
                <w:rFonts w:eastAsia="Times New Roman" w:cstheme="minorHAnsi"/>
                <w:color w:val="000000"/>
                <w:sz w:val="24"/>
                <w:szCs w:val="24"/>
                <w:lang w:eastAsia="pt-BR"/>
              </w:rPr>
              <w:t>Cte</w:t>
            </w:r>
            <w:proofErr w:type="spellEnd"/>
            <w:r w:rsidRPr="00EC5411">
              <w:rPr>
                <w:rFonts w:eastAsia="Times New Roman" w:cstheme="minorHAnsi"/>
                <w:color w:val="000000"/>
                <w:sz w:val="24"/>
                <w:szCs w:val="24"/>
                <w:lang w:eastAsia="pt-BR"/>
              </w:rPr>
              <w:t xml:space="preserve"> emitidos pelo contribuinte e a receita segrega nas atividades econômicas transporte sem e com substituição tributária no Programa Gerador do Documento de Arrecadação do Simples - PGDAS-D.</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C44A5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64ABF8"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570E0C11"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421A8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Ausência ou inconsistência na escrituração da Declaração de Importação (DI) na EFD (registro C120)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1A1F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Verifica ausência ou inconsistência na escrituração de Declaração de Importação - ID na Escrituração Fiscal Digital - EFD. Especificamente no registro C120.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AF352E"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980540" w14:textId="77777777" w:rsidR="00EC5411" w:rsidRPr="00EC5411" w:rsidRDefault="00EC5411" w:rsidP="00EC5411">
            <w:pPr>
              <w:spacing w:after="0" w:line="240" w:lineRule="auto"/>
              <w:rPr>
                <w:rFonts w:eastAsia="Times New Roman" w:cstheme="minorHAnsi"/>
                <w:color w:val="000000"/>
                <w:sz w:val="24"/>
                <w:szCs w:val="24"/>
                <w:lang w:eastAsia="pt-BR"/>
              </w:rPr>
            </w:pPr>
          </w:p>
        </w:tc>
      </w:tr>
      <w:tr w:rsidR="00EC5411" w:rsidRPr="00EC5411" w14:paraId="48B798E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F1BB4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Inconsistência na transferência crédito para outra empresa</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A30C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inconsistência na transferência de crédito fiscal para outra empresa localizada no Estado de Rondônia. Especificamente se 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de transferência não atende algum dos requisitos previstos nos art. 4º-A e art. 28 do Anexo IX do Decreto nº 22721/18.</w:t>
            </w:r>
          </w:p>
        </w:tc>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701D9BDA"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Mensal</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F0F36E"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1) Pendente;</w:t>
            </w:r>
            <w:r w:rsidRPr="00EC5411">
              <w:rPr>
                <w:rFonts w:eastAsia="Times New Roman" w:cstheme="minorHAnsi"/>
                <w:color w:val="000000"/>
                <w:sz w:val="24"/>
                <w:szCs w:val="24"/>
                <w:lang w:eastAsia="pt-BR"/>
              </w:rPr>
              <w:br/>
              <w:t>2) Contestado;</w:t>
            </w:r>
            <w:r w:rsidRPr="00EC5411">
              <w:rPr>
                <w:rFonts w:eastAsia="Times New Roman" w:cstheme="minorHAnsi"/>
                <w:color w:val="000000"/>
                <w:sz w:val="24"/>
                <w:szCs w:val="24"/>
                <w:lang w:eastAsia="pt-BR"/>
              </w:rPr>
              <w:br/>
              <w:t>3) Resolvido;</w:t>
            </w:r>
            <w:r w:rsidRPr="00EC5411">
              <w:rPr>
                <w:rFonts w:eastAsia="Times New Roman" w:cstheme="minorHAnsi"/>
                <w:color w:val="000000"/>
                <w:sz w:val="24"/>
                <w:szCs w:val="24"/>
                <w:lang w:eastAsia="pt-BR"/>
              </w:rPr>
              <w:br/>
              <w:t>4) Ação Fiscal;</w:t>
            </w:r>
            <w:r w:rsidRPr="00EC5411">
              <w:rPr>
                <w:rFonts w:eastAsia="Times New Roman" w:cstheme="minorHAnsi"/>
                <w:color w:val="000000"/>
                <w:sz w:val="24"/>
                <w:szCs w:val="24"/>
                <w:lang w:eastAsia="pt-BR"/>
              </w:rPr>
              <w:br/>
              <w:t>5) Pendente Indeferido;</w:t>
            </w:r>
            <w:r w:rsidRPr="00EC5411">
              <w:rPr>
                <w:rFonts w:eastAsia="Times New Roman" w:cstheme="minorHAnsi"/>
                <w:color w:val="000000"/>
                <w:sz w:val="24"/>
                <w:szCs w:val="24"/>
                <w:lang w:eastAsia="pt-BR"/>
              </w:rPr>
              <w:br/>
              <w:t>6) Resolvido Deferido;</w:t>
            </w:r>
            <w:r w:rsidRPr="00EC5411">
              <w:rPr>
                <w:rFonts w:eastAsia="Times New Roman" w:cstheme="minorHAnsi"/>
                <w:color w:val="000000"/>
                <w:sz w:val="24"/>
                <w:szCs w:val="24"/>
                <w:lang w:eastAsia="pt-BR"/>
              </w:rPr>
              <w:br/>
              <w:t>7) Notificado;</w:t>
            </w:r>
            <w:r w:rsidRPr="00EC5411">
              <w:rPr>
                <w:rFonts w:eastAsia="Times New Roman" w:cstheme="minorHAnsi"/>
                <w:color w:val="000000"/>
                <w:sz w:val="24"/>
                <w:szCs w:val="24"/>
                <w:lang w:eastAsia="pt-BR"/>
              </w:rPr>
              <w:br/>
              <w:t>8) Deferido Automático.</w:t>
            </w:r>
          </w:p>
        </w:tc>
      </w:tr>
      <w:tr w:rsidR="00EC5411" w:rsidRPr="00EC5411" w14:paraId="720F13A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71BCD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Diferença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x Arrecadação DIFAL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7808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Verifica divergência de valor de ICMS DIFAL, correspondente às operações destinadas a não contribuintes, arrecadado por meio de GNRE (código receita 100110 e 100102) e os destacados na </w:t>
            </w:r>
            <w:proofErr w:type="spellStart"/>
            <w:r w:rsidRPr="00EC5411">
              <w:rPr>
                <w:rFonts w:eastAsia="Times New Roman" w:cstheme="minorHAnsi"/>
                <w:color w:val="000000"/>
                <w:sz w:val="24"/>
                <w:szCs w:val="24"/>
                <w:lang w:eastAsia="pt-BR"/>
              </w:rPr>
              <w:t>Nfe</w:t>
            </w:r>
            <w:proofErr w:type="spellEnd"/>
            <w:r w:rsidRPr="00EC5411">
              <w:rPr>
                <w:rFonts w:eastAsia="Times New Roman" w:cstheme="minorHAnsi"/>
                <w:color w:val="000000"/>
                <w:sz w:val="24"/>
                <w:szCs w:val="24"/>
                <w:lang w:eastAsia="pt-BR"/>
              </w:rPr>
              <w:t xml:space="preserve"> (campo VICMSUFDEST) dos contribuintes inscrito no CAD/ICMS/RO como substitutos tributários localizados em outra Unidade Federada.</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BA290F"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C60DE0" w14:textId="77777777" w:rsidR="00EC5411" w:rsidRPr="00EC5411" w:rsidRDefault="00EC5411" w:rsidP="00EC5411">
            <w:pPr>
              <w:spacing w:after="0" w:line="240" w:lineRule="auto"/>
              <w:rPr>
                <w:rFonts w:eastAsia="Times New Roman" w:cstheme="minorHAnsi"/>
                <w:color w:val="000000"/>
                <w:sz w:val="24"/>
                <w:szCs w:val="24"/>
                <w:lang w:eastAsia="pt-BR"/>
              </w:rPr>
            </w:pPr>
          </w:p>
        </w:tc>
      </w:tr>
    </w:tbl>
    <w:p w14:paraId="4771E03C"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 </w:t>
      </w:r>
    </w:p>
    <w:p w14:paraId="76B42D4B"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63"/>
        <w:gridCol w:w="1738"/>
        <w:gridCol w:w="2129"/>
        <w:gridCol w:w="2670"/>
      </w:tblGrid>
      <w:tr w:rsidR="00EC5411" w:rsidRPr="00EC5411" w14:paraId="560F7DF1"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93A8BBB" w14:textId="77777777" w:rsidR="00EC5411" w:rsidRPr="00EC5411" w:rsidRDefault="00EC5411" w:rsidP="00EC5411">
            <w:pPr>
              <w:spacing w:before="100" w:beforeAutospacing="1" w:after="100" w:afterAutospacing="1" w:line="240" w:lineRule="auto"/>
              <w:outlineLvl w:val="0"/>
              <w:rPr>
                <w:rFonts w:eastAsia="Times New Roman" w:cstheme="minorHAnsi"/>
                <w:b/>
                <w:bCs/>
                <w:color w:val="000000"/>
                <w:kern w:val="36"/>
                <w:sz w:val="24"/>
                <w:szCs w:val="24"/>
                <w:lang w:eastAsia="pt-BR"/>
              </w:rPr>
            </w:pPr>
            <w:bookmarkStart w:id="27" w:name="_Toc122521761"/>
            <w:r w:rsidRPr="00EC5411">
              <w:rPr>
                <w:rFonts w:eastAsia="Times New Roman" w:cstheme="minorHAnsi"/>
                <w:b/>
                <w:bCs/>
                <w:color w:val="000000"/>
                <w:kern w:val="36"/>
                <w:sz w:val="24"/>
                <w:szCs w:val="24"/>
                <w:lang w:eastAsia="pt-BR"/>
              </w:rPr>
              <w:t>SED - Sistema de Encaminhamento de Débitos</w:t>
            </w:r>
            <w:bookmarkEnd w:id="27"/>
          </w:p>
        </w:tc>
      </w:tr>
      <w:tr w:rsidR="00EC5411" w:rsidRPr="00EC5411" w14:paraId="35FF83B6" w14:textId="77777777" w:rsidTr="00EC5411">
        <w:trPr>
          <w:tblCellSpacing w:w="7"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B5F6DE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que visa automatizar o processo de disponibilização de débitos vencidos e não pagos à PGE/PAF.</w:t>
            </w:r>
          </w:p>
          <w:p w14:paraId="070716B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r>
      <w:tr w:rsidR="00EC5411" w:rsidRPr="00EC5411" w14:paraId="548787C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66CA20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Menu</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1AAC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Campos</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0ACB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FCDD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Observação</w:t>
            </w:r>
          </w:p>
        </w:tc>
      </w:tr>
      <w:tr w:rsidR="00EC5411" w:rsidRPr="00EC5411" w14:paraId="671D1D98"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7056E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Menu Principal</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38B1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Lançamentos Disponibilizados</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551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Débitos vencidos e não pagos a 120 dias disponibilizados para inscrição em dívida ativa tributária.</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CDAA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Contempla os débitos com código de receita entre 1112 ao 1758, bem como o 2245. Além disso, abrange débitos com vencimento original a partir de 01 de janeiro de 2019.</w:t>
            </w:r>
          </w:p>
        </w:tc>
      </w:tr>
      <w:tr w:rsidR="00EC5411" w:rsidRPr="00EC5411" w14:paraId="1E583D83"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0543C2"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546C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Lançamentos </w:t>
            </w:r>
            <w:proofErr w:type="spellStart"/>
            <w:r w:rsidRPr="00EC5411">
              <w:rPr>
                <w:rFonts w:eastAsia="Times New Roman" w:cstheme="minorHAnsi"/>
                <w:color w:val="000000"/>
                <w:sz w:val="24"/>
                <w:szCs w:val="24"/>
                <w:lang w:eastAsia="pt-BR"/>
              </w:rPr>
              <w:t>Pré</w:t>
            </w:r>
            <w:proofErr w:type="spellEnd"/>
            <w:r w:rsidRPr="00EC5411">
              <w:rPr>
                <w:rFonts w:eastAsia="Times New Roman" w:cstheme="minorHAnsi"/>
                <w:color w:val="000000"/>
                <w:sz w:val="24"/>
                <w:szCs w:val="24"/>
                <w:lang w:eastAsia="pt-BR"/>
              </w:rPr>
              <w:t>-Inscritos</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8862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São os débitos disponibilizados que passam para a fase de inscrição pela PGE.</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3B7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O débito passa a não mais estar no menu Lançamentos Disponibilizados.</w:t>
            </w:r>
          </w:p>
        </w:tc>
      </w:tr>
    </w:tbl>
    <w:p w14:paraId="3A3C8DC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807"/>
        <w:gridCol w:w="1698"/>
        <w:gridCol w:w="3995"/>
      </w:tblGrid>
      <w:tr w:rsidR="00EC5411" w:rsidRPr="00EC5411" w14:paraId="11D7F244"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018C8B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Mais Fácil</w:t>
            </w:r>
          </w:p>
        </w:tc>
      </w:tr>
      <w:tr w:rsidR="00EC5411" w:rsidRPr="00EC5411" w14:paraId="5500BD11"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475C48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que visa facilitar e automatizar o pedido de restituição de IPVA decorrente da publicação do Decreto nº 26.872, de 27 de janeiro de 2022.</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https://maisfacil.sefin.ro.gov.br/</w:t>
            </w:r>
          </w:p>
        </w:tc>
      </w:tr>
      <w:tr w:rsidR="00EC5411" w:rsidRPr="00EC5411" w14:paraId="7791E6A8"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862091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403C85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0299DA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18C747D0"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34AB6D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Restituição - IPVA</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4542619"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6736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destinado a inclusão das informações do requerente do crédito da restituição decorrente da publicação do Decreto nº 26.872, de 27 de janeiro de 2022.</w:t>
            </w:r>
          </w:p>
        </w:tc>
      </w:tr>
    </w:tbl>
    <w:p w14:paraId="301AABEA"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A41F013"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235"/>
        <w:gridCol w:w="2575"/>
        <w:gridCol w:w="2690"/>
      </w:tblGrid>
      <w:tr w:rsidR="00EC5411" w:rsidRPr="00EC5411" w14:paraId="0C3C32DE"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EA3C7F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Regimes Especiais</w:t>
            </w:r>
          </w:p>
        </w:tc>
      </w:tr>
      <w:tr w:rsidR="00EC5411" w:rsidRPr="00EC5411" w14:paraId="29B340ED"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C782F1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de Controle de Regimes Especiais</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http://regimeespecial.sefin.ro.gov.br/</w:t>
            </w:r>
          </w:p>
        </w:tc>
      </w:tr>
      <w:tr w:rsidR="00EC5411" w:rsidRPr="00EC5411" w14:paraId="13CA93B9"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CCE872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A23F92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11AFF8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05A3B0D8"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D91EF5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Concessão Renovação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297628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Análise de Requisitos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95E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Análise automatizada dos requisitos exigidos para concessão/renovação de Regimes Especiais, conforme disposto do art. </w:t>
            </w:r>
            <w:r w:rsidRPr="00EC5411">
              <w:rPr>
                <w:rFonts w:eastAsia="Times New Roman" w:cstheme="minorHAnsi"/>
                <w:color w:val="000000"/>
                <w:sz w:val="24"/>
                <w:szCs w:val="24"/>
                <w:lang w:eastAsia="pt-BR"/>
              </w:rPr>
              <w:lastRenderedPageBreak/>
              <w:t>4, Anexo X, RICMS (Regimes gerais) e art. 368-G, RICMS (ROT-ST)</w:t>
            </w:r>
          </w:p>
        </w:tc>
      </w:tr>
      <w:tr w:rsidR="00EC5411" w:rsidRPr="00EC5411" w14:paraId="1754AC43"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3C3F8B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Consultas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29E27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Contribuintes por Regime</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2DD6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 relação de contribuintes que detém/detiveram regime especial, por tipo e situação do regime.</w:t>
            </w:r>
          </w:p>
        </w:tc>
      </w:tr>
      <w:tr w:rsidR="00EC5411" w:rsidRPr="00EC5411" w14:paraId="487C31B2"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66132C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Monitoramentos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9E5A4C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Código de Ajuste</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E5D3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Uso indevido: Monitoramento do uso/registro indevido, em EFD, de códigos de ajuste de uso exclusivo em operações beneficiadas, por contribuinte que não seja detentor de regime especial concedido por Termo de Acordo e/ou Ato Concessório</w:t>
            </w:r>
          </w:p>
        </w:tc>
      </w:tr>
    </w:tbl>
    <w:p w14:paraId="5F8B6496"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019EB00E"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7"/>
        <w:gridCol w:w="1698"/>
        <w:gridCol w:w="4735"/>
      </w:tblGrid>
      <w:tr w:rsidR="00EC5411" w:rsidRPr="00EC5411" w14:paraId="5C6D135A"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FD4A93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Arrecadação Estadual</w:t>
            </w:r>
          </w:p>
        </w:tc>
      </w:tr>
      <w:tr w:rsidR="00EC5411" w:rsidRPr="00EC5411" w14:paraId="22246250"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F8C3D9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de arrecadação estadual automatizada</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https://arrecadacao.sefin.ro.gov.br/</w:t>
            </w:r>
          </w:p>
        </w:tc>
      </w:tr>
      <w:tr w:rsidR="00EC5411" w:rsidRPr="00EC5411" w14:paraId="33E5CBB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8DC6C5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B34C77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2D581E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0AA0850D"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11C61AC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Arquivos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7FE2D9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DARE</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6F56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É composto dos arquivos retornos enviados pelos agentes arrecadadores do Estado referentes aos códigos de barra dos DARES recolhidos. Permite a consulta de informações sobre os códigos de barra, bem como demais dados repassados pelas instituições financeiras. Mostra-se importante para acompanhar padrões de erro no envio da informação pelos agentes arrecadadores e solicitar correções. Adicionalmente, o sistema foi concebido para a recepção e o processamento desses arquivos retorno sem a interferência humana, aumentando a velocidade e disponibilidade dessas informações aos sistemas da Secretaria.</w:t>
            </w:r>
          </w:p>
        </w:tc>
      </w:tr>
      <w:tr w:rsidR="00EC5411" w:rsidRPr="00EC5411" w14:paraId="29C88997"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B1CEC1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F9AC45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GNRE</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B131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É composto dos arquivos retornos enviados pelos agentes arrecadadores do Estado referentes aos códigos de barra das </w:t>
            </w:r>
            <w:proofErr w:type="spellStart"/>
            <w:r w:rsidRPr="00EC5411">
              <w:rPr>
                <w:rFonts w:eastAsia="Times New Roman" w:cstheme="minorHAnsi"/>
                <w:color w:val="000000"/>
                <w:sz w:val="24"/>
                <w:szCs w:val="24"/>
                <w:lang w:eastAsia="pt-BR"/>
              </w:rPr>
              <w:t>GNREs</w:t>
            </w:r>
            <w:proofErr w:type="spellEnd"/>
            <w:r w:rsidRPr="00EC5411">
              <w:rPr>
                <w:rFonts w:eastAsia="Times New Roman" w:cstheme="minorHAnsi"/>
                <w:color w:val="000000"/>
                <w:sz w:val="24"/>
                <w:szCs w:val="24"/>
                <w:lang w:eastAsia="pt-BR"/>
              </w:rPr>
              <w:t xml:space="preserve"> recolhidas. Permite a consulta de informações sobre os códigos de barra, bem como demais dados repassados pelas instituições financeiras. Mostra-se importante para acompanhar padrões de erro no envio da informação pelos agentes arrecadadores e solicitar correções. Adicionalmente, o sistema foi concebido para a </w:t>
            </w:r>
            <w:r w:rsidRPr="00EC5411">
              <w:rPr>
                <w:rFonts w:eastAsia="Times New Roman" w:cstheme="minorHAnsi"/>
                <w:color w:val="000000"/>
                <w:sz w:val="24"/>
                <w:szCs w:val="24"/>
                <w:lang w:eastAsia="pt-BR"/>
              </w:rPr>
              <w:lastRenderedPageBreak/>
              <w:t>recepção e o processamento desses arquivos retorno sem a interferência humana, aumentando a velocidade e disponibilidade dessas informações aos sistemas da Secretaria.</w:t>
            </w:r>
          </w:p>
        </w:tc>
      </w:tr>
      <w:tr w:rsidR="00EC5411" w:rsidRPr="00EC5411" w14:paraId="530938F8"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0D5321B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Relatórios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9419511"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0855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Painel de acompanhamento do recebimento dos documentos de arrecadação dos agentes arrecadadores por forma de arrecadação. Criado com o intuito de facilitar a conferência de informações dos documentos arrecadados para pagamento da tarifação.</w:t>
            </w:r>
          </w:p>
        </w:tc>
      </w:tr>
    </w:tbl>
    <w:p w14:paraId="23DB696C"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33681A38"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925"/>
        <w:gridCol w:w="1698"/>
        <w:gridCol w:w="3877"/>
      </w:tblGrid>
      <w:tr w:rsidR="00EC5411" w:rsidRPr="00EC5411" w14:paraId="34EE23C4"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BC2A2D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Cobrança IPVA</w:t>
            </w:r>
          </w:p>
        </w:tc>
      </w:tr>
      <w:tr w:rsidR="00EC5411" w:rsidRPr="00EC5411" w14:paraId="3A4CA06D"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EDEF43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de compartilhamento de dados dos contribuintes inadimplentes de IPVA com os Municípios, com o objetivo de promover a cobrança amigável dos débitos através de ligações telefônicas.</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https://cobrancaipva.sefin.ro.gov.br/</w:t>
            </w:r>
          </w:p>
        </w:tc>
      </w:tr>
      <w:tr w:rsidR="00EC5411" w:rsidRPr="00EC5411" w14:paraId="42E0E5F4"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8B34E6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1D30F2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8F9D15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07D1FAEC"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48E288F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Lista de Devedores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5AD8F4D"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F447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Contém a relação dos contribuintes inadimplentes com o IPVA (Exercícios 2020 e 2021), o detalhamento do débito e o telefone de contato para efetuar a cobrança. </w:t>
            </w:r>
            <w:proofErr w:type="spellStart"/>
            <w:r w:rsidRPr="00EC5411">
              <w:rPr>
                <w:rFonts w:eastAsia="Times New Roman" w:cstheme="minorHAnsi"/>
                <w:color w:val="000000"/>
                <w:sz w:val="24"/>
                <w:szCs w:val="24"/>
                <w:lang w:eastAsia="pt-BR"/>
              </w:rPr>
              <w:t>Obs</w:t>
            </w:r>
            <w:proofErr w:type="spellEnd"/>
            <w:r w:rsidRPr="00EC5411">
              <w:rPr>
                <w:rFonts w:eastAsia="Times New Roman" w:cstheme="minorHAnsi"/>
                <w:color w:val="000000"/>
                <w:sz w:val="24"/>
                <w:szCs w:val="24"/>
                <w:lang w:eastAsia="pt-BR"/>
              </w:rPr>
              <w:t>: O usuário tem acesso somente aos dados dos veículos licenciados no seu município.</w:t>
            </w:r>
          </w:p>
        </w:tc>
      </w:tr>
      <w:tr w:rsidR="00EC5411" w:rsidRPr="00EC5411" w14:paraId="46E20B7D"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D93EEF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Lista de Usuários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F43ABFC"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9C11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Contém a relação dos servidores municipais capacitados para efetuar a cobrança administrativa amigável.</w:t>
            </w:r>
          </w:p>
        </w:tc>
      </w:tr>
    </w:tbl>
    <w:p w14:paraId="68DF9CCA"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658EDE2D"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058"/>
        <w:gridCol w:w="1698"/>
        <w:gridCol w:w="2744"/>
      </w:tblGrid>
      <w:tr w:rsidR="00EC5411" w:rsidRPr="00EC5411" w14:paraId="3718D7F7"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4EE5AA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ITCD Consulta DIEF</w:t>
            </w:r>
          </w:p>
        </w:tc>
      </w:tr>
      <w:tr w:rsidR="00EC5411" w:rsidRPr="00EC5411" w14:paraId="6640FF96"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F21FF0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utilizado para consulta de declarações de informações econômico-fiscais de ITCD (DIEF).</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https://itcd.sefin.ro.gov.br/</w:t>
            </w:r>
          </w:p>
        </w:tc>
      </w:tr>
      <w:tr w:rsidR="00EC5411" w:rsidRPr="00EC5411" w14:paraId="69F0C61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69A141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0217E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B5B55A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26E814DA"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4ED7BC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 Autenticação da DIEF</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5B2B6C5"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A7AD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 restrita de uma DIEF entregue pelo contribuinte, sem a necessidade do uso de "código de autenticidade", pelos servidores internos. Nela é possível identificar os devedores, bens e quantia do imposto a pagar. Aplicação em uso, atualmente.</w:t>
            </w:r>
          </w:p>
        </w:tc>
      </w:tr>
    </w:tbl>
    <w:p w14:paraId="3074BB40"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 </w:t>
      </w:r>
    </w:p>
    <w:p w14:paraId="094047BE"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97"/>
        <w:gridCol w:w="1940"/>
        <w:gridCol w:w="3863"/>
      </w:tblGrid>
      <w:tr w:rsidR="00EC5411" w:rsidRPr="00EC5411" w14:paraId="45158B78"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20CEE1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Sistema Vistoria</w:t>
            </w:r>
          </w:p>
        </w:tc>
      </w:tr>
      <w:tr w:rsidR="00EC5411" w:rsidRPr="00EC5411" w14:paraId="60BAAE8E" w14:textId="77777777" w:rsidTr="00EC5411">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694422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On-Line que visa padronizar a realização das Vistorias / Confirmações Cadastrais, reunindo em um único sistema todas as etapas do processo de Vistoria / Confirmação Cadastral, principalmente a motivação do pedido e o resultado da diligência, incrementando a transparência.</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https://vistoria.app.sefin.ro.gov.br/</w:t>
            </w:r>
          </w:p>
        </w:tc>
      </w:tr>
      <w:tr w:rsidR="00EC5411" w:rsidRPr="00EC5411" w14:paraId="468F04B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4C7560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E3B24B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FCCE9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540169B7"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7B5F79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Minhas Vistorias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E749E6"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AB65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as Vistorias / Confirmações Cadastrais atribuídas para o servidor da carreira TAF logado no sistema.</w:t>
            </w:r>
          </w:p>
        </w:tc>
      </w:tr>
      <w:tr w:rsidR="00EC5411" w:rsidRPr="00EC5411" w14:paraId="2D84C08E"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54169F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Contribuintes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98B3CCA"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E83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os dados cadastrais de determinado contribuinte por CNPJ, IE ou NOME. As abas disponíveis são IDENTIFICAÇÃO, ENDEREÇO, QUALIFICAÇÃO, CONTABILISTA, SÓCIOS e PARCEIROS.</w:t>
            </w:r>
          </w:p>
        </w:tc>
      </w:tr>
      <w:tr w:rsidR="00EC5411" w:rsidRPr="00EC5411" w14:paraId="12EAC0ED" w14:textId="77777777" w:rsidTr="00EC5411">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58DBC62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Administrativo</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D935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Vistorias / Confirmação Cadastral</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A744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o histórico de Vistoria / Confirmação Cadastral de determinado contribuinte com ênfase GERENCIAL, busca possível por Delegacia, Servidor, Solicitante, Data, entre outros. Nesta aba também é possível acessar o histórico das vistorias do contribuinte.</w:t>
            </w:r>
          </w:p>
        </w:tc>
      </w:tr>
      <w:tr w:rsidR="00EC5411" w:rsidRPr="00EC5411" w14:paraId="6790ECCA"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2F81073"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9BE92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Solicitar Vistoria / Confirmação Cadastral</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BC9F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Aba que possibilita a Solicitação de Vistoria / Confirmação Cadastral pelo interessado.</w:t>
            </w:r>
          </w:p>
        </w:tc>
      </w:tr>
      <w:tr w:rsidR="00EC5411" w:rsidRPr="00EC5411" w14:paraId="5A821BEF" w14:textId="77777777" w:rsidTr="00EC5411">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DD8E13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444E10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Modalidades</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D8E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Aba para gerenciamento das modalidades de vistoria disponíveis no sistema.</w:t>
            </w:r>
          </w:p>
        </w:tc>
      </w:tr>
    </w:tbl>
    <w:p w14:paraId="4C7684C1" w14:textId="459375A5" w:rsid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8148"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52"/>
        <w:gridCol w:w="3299"/>
        <w:gridCol w:w="1927"/>
      </w:tblGrid>
      <w:tr w:rsidR="00EC5411" w:rsidRPr="00EC5411" w14:paraId="2F37CD2B" w14:textId="77777777" w:rsidTr="00F11B20">
        <w:trPr>
          <w:tblCellSpacing w:w="7" w:type="dxa"/>
          <w:jc w:val="center"/>
        </w:trPr>
        <w:tc>
          <w:tcPr>
            <w:tcW w:w="8120" w:type="dxa"/>
            <w:gridSpan w:val="3"/>
            <w:tcBorders>
              <w:top w:val="outset" w:sz="6" w:space="0" w:color="auto"/>
              <w:left w:val="outset" w:sz="6" w:space="0" w:color="auto"/>
              <w:bottom w:val="outset" w:sz="6" w:space="0" w:color="auto"/>
              <w:right w:val="outset" w:sz="6" w:space="0" w:color="auto"/>
            </w:tcBorders>
            <w:vAlign w:val="center"/>
            <w:hideMark/>
          </w:tcPr>
          <w:p w14:paraId="79CFAD4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proofErr w:type="spellStart"/>
            <w:r w:rsidRPr="00EC5411">
              <w:rPr>
                <w:rFonts w:eastAsia="Times New Roman" w:cstheme="minorHAnsi"/>
                <w:b/>
                <w:bCs/>
                <w:color w:val="000000"/>
                <w:sz w:val="24"/>
                <w:szCs w:val="24"/>
                <w:lang w:eastAsia="pt-BR"/>
              </w:rPr>
              <w:t>SisMonitora</w:t>
            </w:r>
            <w:proofErr w:type="spellEnd"/>
          </w:p>
        </w:tc>
      </w:tr>
      <w:tr w:rsidR="00EC5411" w:rsidRPr="00EC5411" w14:paraId="07406AF9" w14:textId="77777777" w:rsidTr="00F11B20">
        <w:trPr>
          <w:tblCellSpacing w:w="7" w:type="dxa"/>
          <w:jc w:val="center"/>
        </w:trPr>
        <w:tc>
          <w:tcPr>
            <w:tcW w:w="8120" w:type="dxa"/>
            <w:gridSpan w:val="3"/>
            <w:tcBorders>
              <w:top w:val="outset" w:sz="6" w:space="0" w:color="auto"/>
              <w:left w:val="outset" w:sz="6" w:space="0" w:color="auto"/>
              <w:bottom w:val="outset" w:sz="6" w:space="0" w:color="auto"/>
              <w:right w:val="outset" w:sz="6" w:space="0" w:color="auto"/>
            </w:tcBorders>
            <w:vAlign w:val="center"/>
            <w:hideMark/>
          </w:tcPr>
          <w:p w14:paraId="0AC6CA0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Descrição: É o sistema de acompanhamento de monitoramentos desenvolvido e mantido pelo Laboratório Fiscal – GEFIS – utilizando a ferramenta </w:t>
            </w:r>
            <w:proofErr w:type="spellStart"/>
            <w:r w:rsidRPr="00EC5411">
              <w:rPr>
                <w:rFonts w:eastAsia="Times New Roman" w:cstheme="minorHAnsi"/>
                <w:color w:val="000000"/>
                <w:sz w:val="24"/>
                <w:szCs w:val="24"/>
                <w:lang w:eastAsia="pt-BR"/>
              </w:rPr>
              <w:t>Low</w:t>
            </w:r>
            <w:proofErr w:type="spellEnd"/>
            <w:r w:rsidRPr="00EC5411">
              <w:rPr>
                <w:rFonts w:eastAsia="Times New Roman" w:cstheme="minorHAnsi"/>
                <w:color w:val="000000"/>
                <w:sz w:val="24"/>
                <w:szCs w:val="24"/>
                <w:lang w:eastAsia="pt-BR"/>
              </w:rPr>
              <w:t xml:space="preserve"> </w:t>
            </w:r>
            <w:proofErr w:type="spellStart"/>
            <w:r w:rsidRPr="00EC5411">
              <w:rPr>
                <w:rFonts w:eastAsia="Times New Roman" w:cstheme="minorHAnsi"/>
                <w:color w:val="000000"/>
                <w:sz w:val="24"/>
                <w:szCs w:val="24"/>
                <w:lang w:eastAsia="pt-BR"/>
              </w:rPr>
              <w:t>Code</w:t>
            </w:r>
            <w:proofErr w:type="spellEnd"/>
            <w:r w:rsidRPr="00EC5411">
              <w:rPr>
                <w:rFonts w:eastAsia="Times New Roman" w:cstheme="minorHAnsi"/>
                <w:color w:val="000000"/>
                <w:sz w:val="24"/>
                <w:szCs w:val="24"/>
                <w:lang w:eastAsia="pt-BR"/>
              </w:rPr>
              <w:t xml:space="preserve"> Oracle Apex. Ademais, o </w:t>
            </w:r>
            <w:proofErr w:type="spellStart"/>
            <w:r w:rsidRPr="00EC5411">
              <w:rPr>
                <w:rFonts w:eastAsia="Times New Roman" w:cstheme="minorHAnsi"/>
                <w:color w:val="000000"/>
                <w:sz w:val="24"/>
                <w:szCs w:val="24"/>
                <w:lang w:eastAsia="pt-BR"/>
              </w:rPr>
              <w:t>SisMonitora</w:t>
            </w:r>
            <w:proofErr w:type="spellEnd"/>
            <w:r w:rsidRPr="00EC5411">
              <w:rPr>
                <w:rFonts w:eastAsia="Times New Roman" w:cstheme="minorHAnsi"/>
                <w:color w:val="000000"/>
                <w:sz w:val="24"/>
                <w:szCs w:val="24"/>
                <w:lang w:eastAsia="pt-BR"/>
              </w:rPr>
              <w:t xml:space="preserve"> tem como objetivo dar transparência às ações desenvolvidas e efetuar o controle dos monitoramentos realizados no âmbito da SEFIN.</w:t>
            </w:r>
            <w:r w:rsidRPr="00EC5411">
              <w:rPr>
                <w:rFonts w:eastAsia="Times New Roman" w:cstheme="minorHAnsi"/>
                <w:color w:val="000000"/>
                <w:sz w:val="24"/>
                <w:szCs w:val="24"/>
                <w:lang w:eastAsia="pt-BR"/>
              </w:rPr>
              <w:br/>
              <w:t>Endereço: https://sismonitora.sefin.ro.gov.br/</w:t>
            </w:r>
          </w:p>
        </w:tc>
      </w:tr>
      <w:tr w:rsidR="00EC5411" w:rsidRPr="00EC5411" w14:paraId="3B69D553"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4D54876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EDC70E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1876" w:type="dxa"/>
            <w:tcBorders>
              <w:top w:val="outset" w:sz="6" w:space="0" w:color="auto"/>
              <w:left w:val="outset" w:sz="6" w:space="0" w:color="auto"/>
              <w:bottom w:val="outset" w:sz="6" w:space="0" w:color="auto"/>
              <w:right w:val="outset" w:sz="6" w:space="0" w:color="auto"/>
            </w:tcBorders>
            <w:noWrap/>
            <w:vAlign w:val="center"/>
            <w:hideMark/>
          </w:tcPr>
          <w:p w14:paraId="29E46E5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62ED6D79"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629A33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Home</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666B165"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1876" w:type="dxa"/>
            <w:tcBorders>
              <w:top w:val="outset" w:sz="6" w:space="0" w:color="auto"/>
              <w:left w:val="outset" w:sz="6" w:space="0" w:color="auto"/>
              <w:bottom w:val="outset" w:sz="6" w:space="0" w:color="auto"/>
              <w:right w:val="outset" w:sz="6" w:space="0" w:color="auto"/>
            </w:tcBorders>
            <w:vAlign w:val="center"/>
            <w:hideMark/>
          </w:tcPr>
          <w:p w14:paraId="0CB04FA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c>
      </w:tr>
      <w:tr w:rsidR="00EC5411" w:rsidRPr="00EC5411" w14:paraId="45C1563D" w14:textId="77777777" w:rsidTr="00F11B20">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498D9BB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Tabelas do Sistema</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89A9BE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Status de Grupos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3E5B0AF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o cadastro de status de grupo.</w:t>
            </w:r>
          </w:p>
        </w:tc>
      </w:tr>
      <w:tr w:rsidR="00EC5411" w:rsidRPr="00EC5411" w14:paraId="1F1A7B11"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5164332"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21C9141"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Cadastro de Informações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CFD5E6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o cadastro de informações de monitoramento.</w:t>
            </w:r>
          </w:p>
        </w:tc>
      </w:tr>
      <w:tr w:rsidR="00EC5411" w:rsidRPr="00EC5411" w14:paraId="6727F219"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5F00E1F"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55A980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Cadastro de Ações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2F86F31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o cadastro de ações realizadas.</w:t>
            </w:r>
          </w:p>
        </w:tc>
      </w:tr>
      <w:tr w:rsidR="00EC5411" w:rsidRPr="00EC5411" w14:paraId="301CEC42" w14:textId="77777777" w:rsidTr="00F11B20">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027F8CE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Catálogo de Monitoramentos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24CB83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Arrecadação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044397A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Acesso aos catálogos da gerência de arrecadação (GEARR) que permitem a inserção de contribuintes em monitoramento.</w:t>
            </w:r>
          </w:p>
        </w:tc>
      </w:tr>
      <w:tr w:rsidR="00EC5411" w:rsidRPr="00EC5411" w14:paraId="2274B331"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A0619D"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3CDA26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Fiscalização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02DAE44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Acesso aos catálogos da gerência de fiscalização (GEFIS) que permitem a inserção de contribuintes em monitoramento.</w:t>
            </w:r>
          </w:p>
        </w:tc>
      </w:tr>
      <w:tr w:rsidR="00EC5411" w:rsidRPr="00EC5411" w14:paraId="37E13890"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20B1D24"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9E3B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Incentivos Tributários / Benefícios Fiscais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0C51C43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Acesso aos catálogos da gerência de incentivos fiscais (GITEC) que permitem a inserção de contribuintes em monitoramento.</w:t>
            </w:r>
          </w:p>
        </w:tc>
      </w:tr>
      <w:tr w:rsidR="00EC5411" w:rsidRPr="00EC5411" w14:paraId="508C7D50" w14:textId="77777777" w:rsidTr="00F11B20">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5643CA3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Grupo Monitorado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1B0D0D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Cadastro de Grupo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749429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a criação de novos grupos de monitoramento.</w:t>
            </w:r>
          </w:p>
        </w:tc>
      </w:tr>
      <w:tr w:rsidR="00EC5411" w:rsidRPr="00EC5411" w14:paraId="77446FE7"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B04A8B"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E28803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Grupos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52CC00B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Permite a edição e consulta a grupos de monitoramento já criados </w:t>
            </w:r>
            <w:proofErr w:type="gramStart"/>
            <w:r w:rsidRPr="00EC5411">
              <w:rPr>
                <w:rFonts w:eastAsia="Times New Roman" w:cstheme="minorHAnsi"/>
                <w:color w:val="000000"/>
                <w:sz w:val="24"/>
                <w:szCs w:val="24"/>
                <w:lang w:eastAsia="pt-BR"/>
              </w:rPr>
              <w:t>e também</w:t>
            </w:r>
            <w:proofErr w:type="gramEnd"/>
            <w:r w:rsidRPr="00EC5411">
              <w:rPr>
                <w:rFonts w:eastAsia="Times New Roman" w:cstheme="minorHAnsi"/>
                <w:color w:val="000000"/>
                <w:sz w:val="24"/>
                <w:szCs w:val="24"/>
                <w:lang w:eastAsia="pt-BR"/>
              </w:rPr>
              <w:t xml:space="preserve"> a inclusão de contribuintes em monitoramento.</w:t>
            </w:r>
          </w:p>
        </w:tc>
      </w:tr>
      <w:tr w:rsidR="00EC5411" w:rsidRPr="00EC5411" w14:paraId="67960953"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85E1B0"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FDEA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Monitoramentos por Contribuinte</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57D6B9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a consulta do período, grupo e se o monitoramento está ativo</w:t>
            </w:r>
          </w:p>
        </w:tc>
      </w:tr>
      <w:tr w:rsidR="00EC5411" w:rsidRPr="00EC5411" w14:paraId="3B998724" w14:textId="77777777" w:rsidTr="00F11B20">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01F0A44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Monitoramento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7DAD33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Iniciar / Finalizar Monitoramento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0E5D14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Dar início e término de monitoramento ao grupo.</w:t>
            </w:r>
          </w:p>
        </w:tc>
      </w:tr>
      <w:tr w:rsidR="00EC5411" w:rsidRPr="00EC5411" w14:paraId="554DFDE4"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E2473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2D312B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Informar Ação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681315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a inserção das ações realizadas durante o monitoramento.</w:t>
            </w:r>
          </w:p>
        </w:tc>
      </w:tr>
      <w:tr w:rsidR="00EC5411" w:rsidRPr="00EC5411" w14:paraId="2A6BEFE8"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120259"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9F0E71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Informar Valor Recuperado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39DE90F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a inserção de eventual valor recuperado durante o monitoramento.</w:t>
            </w:r>
          </w:p>
        </w:tc>
      </w:tr>
      <w:tr w:rsidR="00EC5411" w:rsidRPr="00EC5411" w14:paraId="2526E036"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DF5626"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F8B27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Incluir Informação de Monitoramento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AE4589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a inserção da evolução do monitoramento.</w:t>
            </w:r>
          </w:p>
        </w:tc>
      </w:tr>
      <w:tr w:rsidR="00EC5411" w:rsidRPr="00EC5411" w14:paraId="15A1D9A2"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74452B"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A8E5C6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Informar Relatório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127B0CA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a inserção do relatório fiscal e o encaminhamento para arquivo ou ação fiscal.</w:t>
            </w:r>
          </w:p>
        </w:tc>
      </w:tr>
      <w:tr w:rsidR="00EC5411" w:rsidRPr="00EC5411" w14:paraId="7518EF5A" w14:textId="77777777" w:rsidTr="00F11B20">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7D26E9B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Consultas / Exclusão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06DA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 Excluir Ações Realizadas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34DBF37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ou excluir ações realizadas.</w:t>
            </w:r>
          </w:p>
        </w:tc>
      </w:tr>
      <w:tr w:rsidR="00EC5411" w:rsidRPr="00EC5411" w14:paraId="6ABACFEE"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A353F1"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D8355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 Excluir Valor Recuperado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5D824C6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ou excluir valor recuperado.</w:t>
            </w:r>
          </w:p>
        </w:tc>
      </w:tr>
      <w:tr w:rsidR="00EC5411" w:rsidRPr="00EC5411" w14:paraId="1E60EF47"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C7D19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C0C940"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 / Edição de Inf. De Monitoramento</w:t>
            </w:r>
          </w:p>
        </w:tc>
        <w:tc>
          <w:tcPr>
            <w:tcW w:w="1876" w:type="dxa"/>
            <w:tcBorders>
              <w:top w:val="outset" w:sz="6" w:space="0" w:color="auto"/>
              <w:left w:val="outset" w:sz="6" w:space="0" w:color="auto"/>
              <w:bottom w:val="outset" w:sz="6" w:space="0" w:color="auto"/>
              <w:right w:val="outset" w:sz="6" w:space="0" w:color="auto"/>
            </w:tcBorders>
            <w:vAlign w:val="center"/>
            <w:hideMark/>
          </w:tcPr>
          <w:p w14:paraId="0DF580F5"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ou excluir inf. de monitoramento.</w:t>
            </w:r>
          </w:p>
        </w:tc>
      </w:tr>
      <w:tr w:rsidR="00EC5411" w:rsidRPr="00EC5411" w14:paraId="28E111BC"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C83A15"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68EF74"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Consultar / Excluir Relatórios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7FB6F4F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o relatório, exclui-lo e reabrir o monitoramento do contribuinte</w:t>
            </w:r>
          </w:p>
        </w:tc>
      </w:tr>
      <w:tr w:rsidR="00EC5411" w:rsidRPr="00EC5411" w14:paraId="531EC71E" w14:textId="77777777" w:rsidTr="00F11B20">
        <w:trPr>
          <w:tblCellSpacing w:w="7"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5D7216F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Relatórios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CE7C80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Monitoramentos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62F1037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e elaborar relatórios acerca dos monitoramentos.</w:t>
            </w:r>
          </w:p>
        </w:tc>
      </w:tr>
      <w:tr w:rsidR="00EC5411" w:rsidRPr="00EC5411" w14:paraId="363108B6"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C9B066"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A81257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Contribuintes Monitorados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47878CC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e elaborar relatórios acerca dos contribuintes monitorados.</w:t>
            </w:r>
          </w:p>
        </w:tc>
      </w:tr>
      <w:tr w:rsidR="00EC5411" w:rsidRPr="00EC5411" w14:paraId="181CC5A8"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227F41A"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1CC55F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Ações Realizadas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370A103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Permite consultar e elaborar relatórios acerca </w:t>
            </w:r>
            <w:r w:rsidRPr="00EC5411">
              <w:rPr>
                <w:rFonts w:eastAsia="Times New Roman" w:cstheme="minorHAnsi"/>
                <w:color w:val="000000"/>
                <w:sz w:val="24"/>
                <w:szCs w:val="24"/>
                <w:lang w:eastAsia="pt-BR"/>
              </w:rPr>
              <w:lastRenderedPageBreak/>
              <w:t>das ações realizadas.</w:t>
            </w:r>
          </w:p>
        </w:tc>
      </w:tr>
      <w:tr w:rsidR="00EC5411" w:rsidRPr="00EC5411" w14:paraId="35F36EE2"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2D76FF0"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DEDFC9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Valores Recuperados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6E00F63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e elaborar relatórios acerca dos valores recuperados.</w:t>
            </w:r>
          </w:p>
        </w:tc>
      </w:tr>
      <w:tr w:rsidR="00EC5411" w:rsidRPr="00EC5411" w14:paraId="1FA6BBE4"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6F19D28"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6E53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Informações de </w:t>
            </w:r>
            <w:proofErr w:type="spellStart"/>
            <w:r w:rsidRPr="00EC5411">
              <w:rPr>
                <w:rFonts w:eastAsia="Times New Roman" w:cstheme="minorHAnsi"/>
                <w:color w:val="000000"/>
                <w:sz w:val="24"/>
                <w:szCs w:val="24"/>
                <w:lang w:eastAsia="pt-BR"/>
              </w:rPr>
              <w:t>Acompanamento</w:t>
            </w:r>
            <w:proofErr w:type="spellEnd"/>
          </w:p>
        </w:tc>
        <w:tc>
          <w:tcPr>
            <w:tcW w:w="1876" w:type="dxa"/>
            <w:tcBorders>
              <w:top w:val="outset" w:sz="6" w:space="0" w:color="auto"/>
              <w:left w:val="outset" w:sz="6" w:space="0" w:color="auto"/>
              <w:bottom w:val="outset" w:sz="6" w:space="0" w:color="auto"/>
              <w:right w:val="outset" w:sz="6" w:space="0" w:color="auto"/>
            </w:tcBorders>
            <w:vAlign w:val="center"/>
            <w:hideMark/>
          </w:tcPr>
          <w:p w14:paraId="0533649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a evolução dos índices de conformidade do contribuinte (em desenvolvimento).</w:t>
            </w:r>
          </w:p>
        </w:tc>
      </w:tr>
      <w:tr w:rsidR="00EC5411" w:rsidRPr="00EC5411" w14:paraId="74398266"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82D4CC"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2A6E1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Monitoramentos Prêmio de Produtividade</w:t>
            </w:r>
          </w:p>
        </w:tc>
        <w:tc>
          <w:tcPr>
            <w:tcW w:w="1876" w:type="dxa"/>
            <w:tcBorders>
              <w:top w:val="outset" w:sz="6" w:space="0" w:color="auto"/>
              <w:left w:val="outset" w:sz="6" w:space="0" w:color="auto"/>
              <w:bottom w:val="outset" w:sz="6" w:space="0" w:color="auto"/>
              <w:right w:val="outset" w:sz="6" w:space="0" w:color="auto"/>
            </w:tcBorders>
            <w:vAlign w:val="center"/>
            <w:hideMark/>
          </w:tcPr>
          <w:p w14:paraId="3ECDB22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xml:space="preserve">Permite consultar a quantidade de contribuintes </w:t>
            </w:r>
            <w:proofErr w:type="gramStart"/>
            <w:r w:rsidRPr="00EC5411">
              <w:rPr>
                <w:rFonts w:eastAsia="Times New Roman" w:cstheme="minorHAnsi"/>
                <w:color w:val="000000"/>
                <w:sz w:val="24"/>
                <w:szCs w:val="24"/>
                <w:lang w:eastAsia="pt-BR"/>
              </w:rPr>
              <w:t>monitorados ,</w:t>
            </w:r>
            <w:proofErr w:type="gramEnd"/>
            <w:r w:rsidRPr="00EC5411">
              <w:rPr>
                <w:rFonts w:eastAsia="Times New Roman" w:cstheme="minorHAnsi"/>
                <w:color w:val="000000"/>
                <w:sz w:val="24"/>
                <w:szCs w:val="24"/>
                <w:lang w:eastAsia="pt-BR"/>
              </w:rPr>
              <w:t xml:space="preserve"> a quantidade de ações e o valor recuperado nas atividades do prêmio de produtividade das delegacias.</w:t>
            </w:r>
          </w:p>
        </w:tc>
      </w:tr>
      <w:tr w:rsidR="00EC5411" w:rsidRPr="00EC5411" w14:paraId="096C0D02"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4C6E47"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2F70EF"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Dossiê Contribuinte</w:t>
            </w:r>
          </w:p>
        </w:tc>
        <w:tc>
          <w:tcPr>
            <w:tcW w:w="1876" w:type="dxa"/>
            <w:tcBorders>
              <w:top w:val="outset" w:sz="6" w:space="0" w:color="auto"/>
              <w:left w:val="outset" w:sz="6" w:space="0" w:color="auto"/>
              <w:bottom w:val="outset" w:sz="6" w:space="0" w:color="auto"/>
              <w:right w:val="outset" w:sz="6" w:space="0" w:color="auto"/>
            </w:tcBorders>
            <w:vAlign w:val="center"/>
            <w:hideMark/>
          </w:tcPr>
          <w:p w14:paraId="2F0C642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informações acerca de determinado contribuinte.</w:t>
            </w:r>
          </w:p>
        </w:tc>
      </w:tr>
      <w:tr w:rsidR="00EC5411" w:rsidRPr="00EC5411" w14:paraId="32A7ED82"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3BC678"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99AA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Escrituração EFD (Notas)</w:t>
            </w:r>
          </w:p>
        </w:tc>
        <w:tc>
          <w:tcPr>
            <w:tcW w:w="1876" w:type="dxa"/>
            <w:tcBorders>
              <w:top w:val="outset" w:sz="6" w:space="0" w:color="auto"/>
              <w:left w:val="outset" w:sz="6" w:space="0" w:color="auto"/>
              <w:bottom w:val="outset" w:sz="6" w:space="0" w:color="auto"/>
              <w:right w:val="outset" w:sz="6" w:space="0" w:color="auto"/>
            </w:tcBorders>
            <w:vAlign w:val="center"/>
            <w:hideMark/>
          </w:tcPr>
          <w:p w14:paraId="65EF9159"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as notas fiscais e EFD de determinado contribuinte.</w:t>
            </w:r>
          </w:p>
        </w:tc>
      </w:tr>
      <w:tr w:rsidR="00EC5411" w:rsidRPr="00EC5411" w14:paraId="05D6D9EF" w14:textId="77777777" w:rsidTr="00F11B20">
        <w:trPr>
          <w:tblCellSpacing w:w="7"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F4F5676" w14:textId="77777777" w:rsidR="00EC5411" w:rsidRPr="00EC5411" w:rsidRDefault="00EC5411" w:rsidP="00EC5411">
            <w:pPr>
              <w:spacing w:after="0" w:line="240" w:lineRule="auto"/>
              <w:rPr>
                <w:rFonts w:eastAsia="Times New Roman" w:cstheme="minorHAnsi"/>
                <w:color w:val="000000"/>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B4DC96"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Consulta Ajustes EFD por Contribuinte</w:t>
            </w:r>
          </w:p>
        </w:tc>
        <w:tc>
          <w:tcPr>
            <w:tcW w:w="1876" w:type="dxa"/>
            <w:tcBorders>
              <w:top w:val="outset" w:sz="6" w:space="0" w:color="auto"/>
              <w:left w:val="outset" w:sz="6" w:space="0" w:color="auto"/>
              <w:bottom w:val="outset" w:sz="6" w:space="0" w:color="auto"/>
              <w:right w:val="outset" w:sz="6" w:space="0" w:color="auto"/>
            </w:tcBorders>
            <w:vAlign w:val="center"/>
            <w:hideMark/>
          </w:tcPr>
          <w:p w14:paraId="227F39B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Permite consultar quais os ajustes utilizados, qual período e observações emitidas por determinado contribuinte.</w:t>
            </w:r>
          </w:p>
        </w:tc>
      </w:tr>
    </w:tbl>
    <w:p w14:paraId="1E736A3C"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7500"/>
      </w:tblGrid>
      <w:tr w:rsidR="00EC5411" w:rsidRPr="00EC5411" w14:paraId="62EFFE9E"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BF536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Denúncia Eletrônica</w:t>
            </w:r>
          </w:p>
        </w:tc>
      </w:tr>
      <w:tr w:rsidR="00EC5411" w:rsidRPr="00EC5411" w14:paraId="478C52F4"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07EFE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r w:rsidRPr="00EC5411">
              <w:rPr>
                <w:rFonts w:eastAsia="Times New Roman" w:cstheme="minorHAnsi"/>
                <w:color w:val="000000"/>
                <w:sz w:val="24"/>
                <w:szCs w:val="24"/>
                <w:lang w:eastAsia="pt-BR"/>
              </w:rPr>
              <w:br/>
              <w:t>Sistema de virtualização dos processos de denúncias que tem como objetivos:</w:t>
            </w:r>
            <w:r w:rsidRPr="00EC5411">
              <w:rPr>
                <w:rFonts w:eastAsia="Times New Roman" w:cstheme="minorHAnsi"/>
                <w:color w:val="000000"/>
                <w:sz w:val="24"/>
                <w:szCs w:val="24"/>
                <w:lang w:eastAsia="pt-BR"/>
              </w:rPr>
              <w:br/>
              <w:t>- Melhoria e controle gerencial;</w:t>
            </w:r>
            <w:r w:rsidRPr="00EC5411">
              <w:rPr>
                <w:rFonts w:eastAsia="Times New Roman" w:cstheme="minorHAnsi"/>
                <w:color w:val="000000"/>
                <w:sz w:val="24"/>
                <w:szCs w:val="24"/>
                <w:lang w:eastAsia="pt-BR"/>
              </w:rPr>
              <w:br/>
              <w:t>- Tornar mais eficiente o atendimento às demandas</w:t>
            </w:r>
            <w:r w:rsidRPr="00EC5411">
              <w:rPr>
                <w:rFonts w:eastAsia="Times New Roman" w:cstheme="minorHAnsi"/>
                <w:color w:val="000000"/>
                <w:sz w:val="24"/>
                <w:szCs w:val="24"/>
                <w:lang w:eastAsia="pt-BR"/>
              </w:rPr>
              <w:br/>
              <w:t>oriundas da sociedade;</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lastRenderedPageBreak/>
              <w:t>- Agilizar a comunicação entre as Delegacias e Gerência de</w:t>
            </w:r>
            <w:r w:rsidRPr="00EC5411">
              <w:rPr>
                <w:rFonts w:eastAsia="Times New Roman" w:cstheme="minorHAnsi"/>
                <w:color w:val="000000"/>
                <w:sz w:val="24"/>
                <w:szCs w:val="24"/>
                <w:lang w:eastAsia="pt-BR"/>
              </w:rPr>
              <w:br/>
              <w:t>Fiscalização.</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https://denuncia.sefin.ro.gov.br/</w:t>
            </w:r>
          </w:p>
        </w:tc>
      </w:tr>
    </w:tbl>
    <w:p w14:paraId="6D573E25"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lastRenderedPageBreak/>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005"/>
        <w:gridCol w:w="1698"/>
        <w:gridCol w:w="3797"/>
      </w:tblGrid>
      <w:tr w:rsidR="00EC5411" w:rsidRPr="00EC5411" w14:paraId="314BEC6B" w14:textId="77777777" w:rsidTr="00F11B20">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6F7F3A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Visão Contribuinte 360°</w:t>
            </w:r>
          </w:p>
        </w:tc>
      </w:tr>
      <w:tr w:rsidR="00EC5411" w:rsidRPr="00EC5411" w14:paraId="14D6949C" w14:textId="77777777" w:rsidTr="00F11B20">
        <w:trPr>
          <w:tblCellSpacing w:w="7" w:type="dxa"/>
          <w:jc w:val="center"/>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8B9A40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Disponibiliza aos servidores do fisco informações dos contribuintes de forma centralizada em um único ambiente</w:t>
            </w:r>
            <w:r w:rsidRPr="00EC5411">
              <w:rPr>
                <w:rFonts w:eastAsia="Times New Roman" w:cstheme="minorHAnsi"/>
                <w:color w:val="000000"/>
                <w:sz w:val="24"/>
                <w:szCs w:val="24"/>
                <w:lang w:eastAsia="pt-BR"/>
              </w:rPr>
              <w:br/>
            </w:r>
            <w:r w:rsidRPr="00EC5411">
              <w:rPr>
                <w:rFonts w:eastAsia="Times New Roman" w:cstheme="minorHAnsi"/>
                <w:color w:val="000000"/>
                <w:sz w:val="24"/>
                <w:szCs w:val="24"/>
                <w:lang w:eastAsia="pt-BR"/>
              </w:rPr>
              <w:br/>
              <w:t>Endereço: https://visaocontribuinte360.sefin.ro.gov.br/</w:t>
            </w:r>
          </w:p>
        </w:tc>
      </w:tr>
      <w:tr w:rsidR="00EC5411" w:rsidRPr="00EC5411" w14:paraId="2BD219DB"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070FE603"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7F7C38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Campo Derivado</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715D67B"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w:t>
            </w:r>
          </w:p>
        </w:tc>
      </w:tr>
      <w:tr w:rsidR="00EC5411" w:rsidRPr="00EC5411" w14:paraId="39449973"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636B2FD"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Dossiê Contribuinte</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B7D51E0"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E088"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Informações cadastrais, fiscais e sobre documentos eletrônicos (EFD/NFE/NFCE) dos Contribuintes.</w:t>
            </w:r>
          </w:p>
        </w:tc>
      </w:tr>
      <w:tr w:rsidR="00EC5411" w:rsidRPr="00EC5411" w14:paraId="4C193546"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7BF94AA"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Dossiê Contador</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BB706F7"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2F6F7"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Informações de contador (Cadastro no CRC/ Empresas vinculadas/Endereços).</w:t>
            </w:r>
          </w:p>
        </w:tc>
      </w:tr>
      <w:tr w:rsidR="00EC5411" w:rsidRPr="00EC5411" w14:paraId="2661E3C5" w14:textId="77777777" w:rsidTr="00F11B20">
        <w:trPr>
          <w:tblCellSpacing w:w="7"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E1DAC9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Dossiê Pessoa</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3725DB1" w14:textId="77777777" w:rsidR="00EC5411" w:rsidRPr="00EC5411" w:rsidRDefault="00EC5411" w:rsidP="00EC5411">
            <w:pPr>
              <w:spacing w:before="120" w:after="120" w:line="240" w:lineRule="auto"/>
              <w:ind w:left="120" w:right="120"/>
              <w:jc w:val="center"/>
              <w:rPr>
                <w:rFonts w:eastAsia="Times New Roman" w:cstheme="minorHAnsi"/>
                <w:color w:val="000000"/>
                <w:sz w:val="24"/>
                <w:szCs w:val="24"/>
                <w:lang w:eastAsia="pt-BR"/>
              </w:rPr>
            </w:pPr>
            <w:r w:rsidRPr="00EC5411">
              <w:rPr>
                <w:rFonts w:eastAsia="Times New Roman" w:cstheme="minorHAnsi"/>
                <w:color w:val="000000"/>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247E"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Informações sobre pessoas (não contribuintes), como consumo em NFE, endereços, empresas das quais é sócio, entre outras.</w:t>
            </w:r>
          </w:p>
        </w:tc>
      </w:tr>
    </w:tbl>
    <w:p w14:paraId="146BC8EC" w14:textId="77777777"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tbl>
      <w:tblPr>
        <w:tblW w:w="7500" w:type="dxa"/>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7500"/>
      </w:tblGrid>
      <w:tr w:rsidR="00EC5411" w:rsidRPr="00EC5411" w14:paraId="71E03835"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07BCBC"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b/>
                <w:bCs/>
                <w:color w:val="000000"/>
                <w:sz w:val="24"/>
                <w:szCs w:val="24"/>
                <w:lang w:eastAsia="pt-BR"/>
              </w:rPr>
              <w:t>e-</w:t>
            </w:r>
            <w:proofErr w:type="spellStart"/>
            <w:r w:rsidRPr="00EC5411">
              <w:rPr>
                <w:rFonts w:eastAsia="Times New Roman" w:cstheme="minorHAnsi"/>
                <w:b/>
                <w:bCs/>
                <w:color w:val="000000"/>
                <w:sz w:val="24"/>
                <w:szCs w:val="24"/>
                <w:lang w:eastAsia="pt-BR"/>
              </w:rPr>
              <w:t>Fisc</w:t>
            </w:r>
            <w:proofErr w:type="spellEnd"/>
          </w:p>
        </w:tc>
      </w:tr>
      <w:tr w:rsidR="00EC5411" w:rsidRPr="00EC5411" w14:paraId="478AC32F" w14:textId="77777777" w:rsidTr="00EC5411">
        <w:trPr>
          <w:tblCellSpacing w:w="7"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D94722" w14:textId="77777777" w:rsidR="00EC5411" w:rsidRPr="00EC5411" w:rsidRDefault="00EC5411" w:rsidP="00EC5411">
            <w:pPr>
              <w:spacing w:before="100" w:beforeAutospacing="1" w:after="100" w:afterAutospacing="1"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Descrição: Sistema de automatização da Ação Fiscal do Estado de Rondônia que possibilita a integração de dados fiscais, com agilidade, menor custo, segurança, controles estatísticos e gerenciais, unificação de informações e processos em banco de dados, além promover uma maior transparência da ação fiscal para o público interno e externo.</w:t>
            </w:r>
            <w:r w:rsidRPr="00EC5411">
              <w:rPr>
                <w:rFonts w:eastAsia="Times New Roman" w:cstheme="minorHAnsi"/>
                <w:color w:val="000000"/>
                <w:sz w:val="24"/>
                <w:szCs w:val="24"/>
                <w:lang w:eastAsia="pt-BR"/>
              </w:rPr>
              <w:br/>
              <w:t> </w:t>
            </w:r>
          </w:p>
        </w:tc>
      </w:tr>
    </w:tbl>
    <w:p w14:paraId="02005C9B" w14:textId="5B1487AD" w:rsidR="00EC5411" w:rsidRPr="00EC5411" w:rsidRDefault="00EC5411" w:rsidP="00EC5411">
      <w:pPr>
        <w:spacing w:after="165"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62ED45C7" w14:textId="77777777" w:rsidR="00EC5411" w:rsidRPr="00EC5411" w:rsidRDefault="00EC5411" w:rsidP="00EC5411">
      <w:pPr>
        <w:spacing w:after="0" w:line="240" w:lineRule="auto"/>
        <w:rPr>
          <w:rFonts w:eastAsia="Times New Roman" w:cstheme="minorHAnsi"/>
          <w:color w:val="000000"/>
          <w:sz w:val="24"/>
          <w:szCs w:val="24"/>
          <w:lang w:eastAsia="pt-BR"/>
        </w:rPr>
      </w:pPr>
      <w:r w:rsidRPr="00EC5411">
        <w:rPr>
          <w:rFonts w:eastAsia="Times New Roman" w:cstheme="minorHAnsi"/>
          <w:color w:val="000000"/>
          <w:sz w:val="24"/>
          <w:szCs w:val="24"/>
          <w:lang w:eastAsia="pt-BR"/>
        </w:rPr>
        <w:t> </w:t>
      </w:r>
    </w:p>
    <w:p w14:paraId="439AC839" w14:textId="77777777" w:rsidR="00EC5411" w:rsidRPr="00EC5411" w:rsidRDefault="00846C62" w:rsidP="00EC5411">
      <w:pPr>
        <w:spacing w:after="60" w:line="240" w:lineRule="auto"/>
        <w:rPr>
          <w:rFonts w:eastAsia="Times New Roman" w:cstheme="minorHAnsi"/>
          <w:color w:val="000000"/>
          <w:sz w:val="24"/>
          <w:szCs w:val="24"/>
          <w:lang w:eastAsia="pt-BR"/>
        </w:rPr>
      </w:pPr>
      <w:r>
        <w:rPr>
          <w:rFonts w:eastAsia="Times New Roman" w:cstheme="minorHAnsi"/>
          <w:color w:val="000000"/>
          <w:sz w:val="24"/>
          <w:szCs w:val="24"/>
          <w:lang w:eastAsia="pt-BR"/>
        </w:rPr>
        <w:pict w14:anchorId="4CA78A3A">
          <v:rect id="_x0000_i102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EC5411" w:rsidRPr="00EC5411" w14:paraId="2D8AD7B5" w14:textId="77777777" w:rsidTr="00EC5411">
        <w:trPr>
          <w:tblCellSpacing w:w="15" w:type="dxa"/>
        </w:trPr>
        <w:tc>
          <w:tcPr>
            <w:tcW w:w="0" w:type="auto"/>
            <w:vAlign w:val="center"/>
            <w:hideMark/>
          </w:tcPr>
          <w:p w14:paraId="240016E3" w14:textId="1ED31F1A" w:rsidR="00EC5411" w:rsidRPr="00EC5411" w:rsidRDefault="00EC5411" w:rsidP="00EC5411">
            <w:pPr>
              <w:spacing w:after="0" w:line="240" w:lineRule="auto"/>
              <w:rPr>
                <w:rFonts w:eastAsia="Times New Roman" w:cstheme="minorHAnsi"/>
                <w:sz w:val="20"/>
                <w:szCs w:val="20"/>
                <w:lang w:eastAsia="pt-BR"/>
              </w:rPr>
            </w:pPr>
            <w:r w:rsidRPr="00F11B20">
              <w:rPr>
                <w:rFonts w:cstheme="minorHAnsi"/>
                <w:noProof/>
                <w:sz w:val="20"/>
                <w:szCs w:val="20"/>
              </w:rPr>
              <w:drawing>
                <wp:inline distT="0" distB="0" distL="0" distR="0" wp14:anchorId="526EAA23" wp14:editId="13C59ADF">
                  <wp:extent cx="848360" cy="570865"/>
                  <wp:effectExtent l="0" t="0" r="8890" b="635"/>
                  <wp:docPr id="2" name="Imagem 2"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Interface gráfica do usuário&#10;&#10;Descrição gerad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8360" cy="570865"/>
                          </a:xfrm>
                          <a:prstGeom prst="rect">
                            <a:avLst/>
                          </a:prstGeom>
                          <a:noFill/>
                          <a:ln>
                            <a:noFill/>
                          </a:ln>
                        </pic:spPr>
                      </pic:pic>
                    </a:graphicData>
                  </a:graphic>
                </wp:inline>
              </w:drawing>
            </w:r>
          </w:p>
        </w:tc>
        <w:tc>
          <w:tcPr>
            <w:tcW w:w="0" w:type="auto"/>
            <w:vAlign w:val="center"/>
            <w:hideMark/>
          </w:tcPr>
          <w:p w14:paraId="327AD6AF" w14:textId="77777777" w:rsidR="00EC5411" w:rsidRPr="00EC5411" w:rsidRDefault="00EC5411" w:rsidP="00EC5411">
            <w:pPr>
              <w:spacing w:after="0" w:line="240" w:lineRule="auto"/>
              <w:jc w:val="both"/>
              <w:rPr>
                <w:rFonts w:eastAsia="Times New Roman" w:cstheme="minorHAnsi"/>
                <w:sz w:val="20"/>
                <w:szCs w:val="20"/>
                <w:lang w:eastAsia="pt-BR"/>
              </w:rPr>
            </w:pPr>
            <w:r w:rsidRPr="00EC5411">
              <w:rPr>
                <w:rFonts w:eastAsia="Times New Roman" w:cstheme="minorHAnsi"/>
                <w:sz w:val="20"/>
                <w:szCs w:val="20"/>
                <w:lang w:eastAsia="pt-BR"/>
              </w:rPr>
              <w:t>Documento assinado eletronicamente por </w:t>
            </w:r>
            <w:r w:rsidRPr="00EC5411">
              <w:rPr>
                <w:rFonts w:eastAsia="Times New Roman" w:cstheme="minorHAnsi"/>
                <w:b/>
                <w:bCs/>
                <w:sz w:val="20"/>
                <w:szCs w:val="20"/>
                <w:lang w:eastAsia="pt-BR"/>
              </w:rPr>
              <w:t>ANTONIO CARLOS ALENCAR DO NASCIMENTO</w:t>
            </w:r>
            <w:r w:rsidRPr="00EC5411">
              <w:rPr>
                <w:rFonts w:eastAsia="Times New Roman" w:cstheme="minorHAnsi"/>
                <w:sz w:val="20"/>
                <w:szCs w:val="20"/>
                <w:lang w:eastAsia="pt-BR"/>
              </w:rPr>
              <w:t>, </w:t>
            </w:r>
            <w:r w:rsidRPr="00EC5411">
              <w:rPr>
                <w:rFonts w:eastAsia="Times New Roman" w:cstheme="minorHAnsi"/>
                <w:b/>
                <w:bCs/>
                <w:sz w:val="20"/>
                <w:szCs w:val="20"/>
                <w:lang w:eastAsia="pt-BR"/>
              </w:rPr>
              <w:t>Coordenador(a)</w:t>
            </w:r>
            <w:r w:rsidRPr="00EC5411">
              <w:rPr>
                <w:rFonts w:eastAsia="Times New Roman" w:cstheme="minorHAnsi"/>
                <w:sz w:val="20"/>
                <w:szCs w:val="20"/>
                <w:lang w:eastAsia="pt-BR"/>
              </w:rPr>
              <w:t>, em 15/01/2023, às 12:10, conforme horário oficial de Brasília, com fundamento no artigo 18 caput e seus §§ 1º e 2º, do </w:t>
            </w:r>
            <w:hyperlink r:id="rId10" w:tgtFrame="_blank" w:tooltip="Acesse o Decreto" w:history="1">
              <w:r w:rsidRPr="00EC5411">
                <w:rPr>
                  <w:rFonts w:eastAsia="Times New Roman" w:cstheme="minorHAnsi"/>
                  <w:color w:val="0000FF"/>
                  <w:sz w:val="20"/>
                  <w:szCs w:val="20"/>
                  <w:u w:val="single"/>
                  <w:lang w:eastAsia="pt-BR"/>
                </w:rPr>
                <w:t>Decreto nº 21.794, de 5 Abril de 2017.</w:t>
              </w:r>
            </w:hyperlink>
          </w:p>
        </w:tc>
      </w:tr>
    </w:tbl>
    <w:p w14:paraId="42821651" w14:textId="77777777" w:rsidR="00EC5411" w:rsidRPr="00EC5411" w:rsidRDefault="00846C62" w:rsidP="00EC5411">
      <w:pPr>
        <w:spacing w:after="60" w:line="240" w:lineRule="auto"/>
        <w:rPr>
          <w:rFonts w:eastAsia="Times New Roman" w:cstheme="minorHAnsi"/>
          <w:color w:val="000000"/>
          <w:sz w:val="20"/>
          <w:szCs w:val="20"/>
          <w:lang w:eastAsia="pt-BR"/>
        </w:rPr>
      </w:pPr>
      <w:r>
        <w:rPr>
          <w:rFonts w:eastAsia="Times New Roman" w:cstheme="minorHAnsi"/>
          <w:color w:val="000000"/>
          <w:sz w:val="20"/>
          <w:szCs w:val="20"/>
          <w:lang w:eastAsia="pt-BR"/>
        </w:rPr>
        <w:pict w14:anchorId="7A81DD19">
          <v:rect id="_x0000_i1026"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EC5411" w:rsidRPr="00EC5411" w14:paraId="27F1973C" w14:textId="77777777" w:rsidTr="00EC5411">
        <w:trPr>
          <w:tblCellSpacing w:w="15" w:type="dxa"/>
        </w:trPr>
        <w:tc>
          <w:tcPr>
            <w:tcW w:w="0" w:type="auto"/>
            <w:vAlign w:val="center"/>
            <w:hideMark/>
          </w:tcPr>
          <w:p w14:paraId="139EF9EB" w14:textId="6CE0B48E" w:rsidR="00EC5411" w:rsidRPr="00EC5411" w:rsidRDefault="00EC5411" w:rsidP="00EC5411">
            <w:pPr>
              <w:spacing w:after="0" w:line="240" w:lineRule="auto"/>
              <w:rPr>
                <w:rFonts w:eastAsia="Times New Roman" w:cstheme="minorHAnsi"/>
                <w:sz w:val="20"/>
                <w:szCs w:val="20"/>
                <w:lang w:eastAsia="pt-BR"/>
              </w:rPr>
            </w:pPr>
            <w:r w:rsidRPr="00F11B20">
              <w:rPr>
                <w:rFonts w:cstheme="minorHAnsi"/>
                <w:noProof/>
                <w:sz w:val="20"/>
                <w:szCs w:val="20"/>
              </w:rPr>
              <w:drawing>
                <wp:inline distT="0" distB="0" distL="0" distR="0" wp14:anchorId="630C06DC" wp14:editId="190195E8">
                  <wp:extent cx="819150" cy="819150"/>
                  <wp:effectExtent l="0" t="0" r="0" b="0"/>
                  <wp:docPr id="1" name="Imagem 1" descr="Código Q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Código QR&#10;&#10;Descrição gerada automa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54E673B4" w14:textId="77777777" w:rsidR="00EC5411" w:rsidRPr="00EC5411" w:rsidRDefault="00EC5411" w:rsidP="00EC5411">
            <w:pPr>
              <w:spacing w:after="0" w:line="240" w:lineRule="auto"/>
              <w:jc w:val="both"/>
              <w:rPr>
                <w:rFonts w:eastAsia="Times New Roman" w:cstheme="minorHAnsi"/>
                <w:sz w:val="20"/>
                <w:szCs w:val="20"/>
                <w:lang w:eastAsia="pt-BR"/>
              </w:rPr>
            </w:pPr>
            <w:r w:rsidRPr="00EC5411">
              <w:rPr>
                <w:rFonts w:eastAsia="Times New Roman" w:cstheme="minorHAnsi"/>
                <w:sz w:val="20"/>
                <w:szCs w:val="20"/>
                <w:lang w:eastAsia="pt-BR"/>
              </w:rPr>
              <w:t>A autenticidade deste documento pode ser conferida no site </w:t>
            </w:r>
            <w:hyperlink r:id="rId12" w:tgtFrame="_blank" w:tooltip="Página de Autenticidade de Documentos" w:history="1">
              <w:r w:rsidRPr="00EC5411">
                <w:rPr>
                  <w:rFonts w:eastAsia="Times New Roman" w:cstheme="minorHAnsi"/>
                  <w:color w:val="0000FF"/>
                  <w:sz w:val="20"/>
                  <w:szCs w:val="20"/>
                  <w:u w:val="single"/>
                  <w:lang w:eastAsia="pt-BR"/>
                </w:rPr>
                <w:t>portal do SEI</w:t>
              </w:r>
            </w:hyperlink>
            <w:r w:rsidRPr="00EC5411">
              <w:rPr>
                <w:rFonts w:eastAsia="Times New Roman" w:cstheme="minorHAnsi"/>
                <w:sz w:val="20"/>
                <w:szCs w:val="20"/>
                <w:lang w:eastAsia="pt-BR"/>
              </w:rPr>
              <w:t>, informando o código verificador </w:t>
            </w:r>
            <w:r w:rsidRPr="00EC5411">
              <w:rPr>
                <w:rFonts w:eastAsia="Times New Roman" w:cstheme="minorHAnsi"/>
                <w:b/>
                <w:bCs/>
                <w:sz w:val="20"/>
                <w:szCs w:val="20"/>
                <w:lang w:eastAsia="pt-BR"/>
              </w:rPr>
              <w:t>0034692293</w:t>
            </w:r>
            <w:r w:rsidRPr="00EC5411">
              <w:rPr>
                <w:rFonts w:eastAsia="Times New Roman" w:cstheme="minorHAnsi"/>
                <w:sz w:val="20"/>
                <w:szCs w:val="20"/>
                <w:lang w:eastAsia="pt-BR"/>
              </w:rPr>
              <w:t> e o código CRC </w:t>
            </w:r>
            <w:r w:rsidRPr="00EC5411">
              <w:rPr>
                <w:rFonts w:eastAsia="Times New Roman" w:cstheme="minorHAnsi"/>
                <w:b/>
                <w:bCs/>
                <w:sz w:val="20"/>
                <w:szCs w:val="20"/>
                <w:lang w:eastAsia="pt-BR"/>
              </w:rPr>
              <w:t>694284D5</w:t>
            </w:r>
            <w:r w:rsidRPr="00EC5411">
              <w:rPr>
                <w:rFonts w:eastAsia="Times New Roman" w:cstheme="minorHAnsi"/>
                <w:sz w:val="20"/>
                <w:szCs w:val="20"/>
                <w:lang w:eastAsia="pt-BR"/>
              </w:rPr>
              <w:t>.</w:t>
            </w:r>
          </w:p>
        </w:tc>
      </w:tr>
    </w:tbl>
    <w:p w14:paraId="1EBB3B91" w14:textId="77777777" w:rsidR="00A06D2B" w:rsidRPr="00EC5411" w:rsidRDefault="00A06D2B">
      <w:pPr>
        <w:rPr>
          <w:rFonts w:cstheme="minorHAnsi"/>
          <w:sz w:val="24"/>
          <w:szCs w:val="24"/>
        </w:rPr>
      </w:pPr>
    </w:p>
    <w:sectPr w:rsidR="00A06D2B" w:rsidRPr="00EC5411" w:rsidSect="00EC5411">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411"/>
    <w:rsid w:val="005047E2"/>
    <w:rsid w:val="00846C62"/>
    <w:rsid w:val="00A06D2B"/>
    <w:rsid w:val="00EC5411"/>
    <w:rsid w:val="00F11B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6645136"/>
  <w15:chartTrackingRefBased/>
  <w15:docId w15:val="{6252EE55-965F-4C9B-A71F-1E5B98A1A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EC541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EC5411"/>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C5411"/>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EC5411"/>
    <w:rPr>
      <w:rFonts w:ascii="Times New Roman" w:eastAsia="Times New Roman" w:hAnsi="Times New Roman" w:cs="Times New Roman"/>
      <w:b/>
      <w:bCs/>
      <w:sz w:val="36"/>
      <w:szCs w:val="36"/>
      <w:lang w:eastAsia="pt-BR"/>
    </w:rPr>
  </w:style>
  <w:style w:type="paragraph" w:customStyle="1" w:styleId="msonormal0">
    <w:name w:val="msonormal"/>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semiHidden/>
    <w:unhideWhenUsed/>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ralizado">
    <w:name w:val="texto_centralizado"/>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EC5411"/>
    <w:rPr>
      <w:b/>
      <w:bCs/>
    </w:rPr>
  </w:style>
  <w:style w:type="paragraph" w:customStyle="1" w:styleId="textojustificadorecuoprimeiralinha">
    <w:name w:val="texto_justificado_recuo_primeira_linha"/>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
    <w:name w:val="new_texto_justificado"/>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primeirlinhaespsimp">
    <w:name w:val="new_texto_justificado_rec_primeir_linha_esp_simp"/>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ralizadomaiusculasnegrito">
    <w:name w:val="texto_centralizado_maiusculas_negrito"/>
    <w:basedOn w:val="Normal"/>
    <w:rsid w:val="00EC54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EC5411"/>
    <w:rPr>
      <w:color w:val="0000FF"/>
      <w:u w:val="single"/>
    </w:rPr>
  </w:style>
  <w:style w:type="character" w:styleId="HiperlinkVisitado">
    <w:name w:val="FollowedHyperlink"/>
    <w:basedOn w:val="Fontepargpadro"/>
    <w:uiPriority w:val="99"/>
    <w:semiHidden/>
    <w:unhideWhenUsed/>
    <w:rsid w:val="00EC5411"/>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0958956">
      <w:bodyDiv w:val="1"/>
      <w:marLeft w:val="0"/>
      <w:marRight w:val="0"/>
      <w:marTop w:val="0"/>
      <w:marBottom w:val="0"/>
      <w:divBdr>
        <w:top w:val="none" w:sz="0" w:space="0" w:color="auto"/>
        <w:left w:val="none" w:sz="0" w:space="0" w:color="auto"/>
        <w:bottom w:val="none" w:sz="0" w:space="0" w:color="auto"/>
        <w:right w:val="none" w:sz="0" w:space="0" w:color="auto"/>
      </w:divBdr>
      <w:divsChild>
        <w:div w:id="1888370762">
          <w:marLeft w:val="0"/>
          <w:marRight w:val="0"/>
          <w:marTop w:val="0"/>
          <w:marBottom w:val="0"/>
          <w:divBdr>
            <w:top w:val="single" w:sz="12" w:space="3" w:color="777777"/>
            <w:left w:val="single" w:sz="12" w:space="3" w:color="777777"/>
            <w:bottom w:val="single" w:sz="12" w:space="3" w:color="777777"/>
            <w:right w:val="single" w:sz="12" w:space="3" w:color="777777"/>
          </w:divBdr>
        </w:div>
        <w:div w:id="2061436968">
          <w:marLeft w:val="0"/>
          <w:marRight w:val="0"/>
          <w:marTop w:val="0"/>
          <w:marBottom w:val="0"/>
          <w:divBdr>
            <w:top w:val="none" w:sz="0" w:space="0" w:color="auto"/>
            <w:left w:val="none" w:sz="0" w:space="0" w:color="auto"/>
            <w:bottom w:val="none" w:sz="0" w:space="0" w:color="auto"/>
            <w:right w:val="none" w:sz="0" w:space="0" w:color="auto"/>
          </w:divBdr>
        </w:div>
        <w:div w:id="234433315">
          <w:marLeft w:val="0"/>
          <w:marRight w:val="0"/>
          <w:marTop w:val="0"/>
          <w:marBottom w:val="0"/>
          <w:divBdr>
            <w:top w:val="none" w:sz="0" w:space="0" w:color="auto"/>
            <w:left w:val="none" w:sz="0" w:space="0" w:color="auto"/>
            <w:bottom w:val="none" w:sz="0" w:space="0" w:color="auto"/>
            <w:right w:val="none" w:sz="0" w:space="0" w:color="auto"/>
          </w:divBdr>
        </w:div>
        <w:div w:id="403181837">
          <w:marLeft w:val="0"/>
          <w:marRight w:val="0"/>
          <w:marTop w:val="0"/>
          <w:marBottom w:val="0"/>
          <w:divBdr>
            <w:top w:val="none" w:sz="0" w:space="0" w:color="auto"/>
            <w:left w:val="none" w:sz="0" w:space="0" w:color="auto"/>
            <w:bottom w:val="none" w:sz="0" w:space="0" w:color="auto"/>
            <w:right w:val="none" w:sz="0" w:space="0" w:color="auto"/>
          </w:divBdr>
        </w:div>
        <w:div w:id="1615558508">
          <w:marLeft w:val="0"/>
          <w:marRight w:val="0"/>
          <w:marTop w:val="0"/>
          <w:marBottom w:val="0"/>
          <w:divBdr>
            <w:top w:val="none" w:sz="0" w:space="0" w:color="auto"/>
            <w:left w:val="none" w:sz="0" w:space="0" w:color="auto"/>
            <w:bottom w:val="none" w:sz="0" w:space="0" w:color="auto"/>
            <w:right w:val="none" w:sz="0" w:space="0" w:color="auto"/>
          </w:divBdr>
        </w:div>
        <w:div w:id="15441680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sconforme.sefin.ro.gov.br/"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consit.sefin.ro.gov.br/" TargetMode="External"/><Relationship Id="rId12" Type="http://schemas.openxmlformats.org/officeDocument/2006/relationships/hyperlink" Target="http://sei.sistemas.ro.gov.br/sei/controlador_externo.php?acao=documento_conferir&amp;id_orgao_acesso_externo=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i.sefin.ro.gov.br/" TargetMode="External"/><Relationship Id="rId11" Type="http://schemas.openxmlformats.org/officeDocument/2006/relationships/image" Target="media/image3.png"/><Relationship Id="rId5" Type="http://schemas.openxmlformats.org/officeDocument/2006/relationships/hyperlink" Target="https://estoque.dividaativa.sefin.ro.gov.br/" TargetMode="External"/><Relationship Id="rId10" Type="http://schemas.openxmlformats.org/officeDocument/2006/relationships/hyperlink" Target="http://www.diof.ro.gov.br/data/uploads/2017/04/Doe-05_04_2017.pdf" TargetMode="Externa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34</Pages>
  <Words>7112</Words>
  <Characters>38408</Characters>
  <Application>Microsoft Office Word</Application>
  <DocSecurity>0</DocSecurity>
  <Lines>320</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Huther de Moraes</dc:creator>
  <cp:keywords/>
  <dc:description/>
  <cp:lastModifiedBy>Claudio Huther de Moraes</cp:lastModifiedBy>
  <cp:revision>3</cp:revision>
  <dcterms:created xsi:type="dcterms:W3CDTF">2023-01-17T13:48:00Z</dcterms:created>
  <dcterms:modified xsi:type="dcterms:W3CDTF">2023-01-17T14:03:00Z</dcterms:modified>
</cp:coreProperties>
</file>