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7255FA" w14:textId="628A8A0B" w:rsidR="00205E97" w:rsidRPr="00205E97" w:rsidRDefault="00205E97" w:rsidP="00205E97">
      <w:pPr>
        <w:rPr>
          <w:rFonts w:ascii="Calibri" w:hAnsi="Calibri" w:cs="Calibri"/>
          <w:color w:val="EE0000"/>
          <w:sz w:val="20"/>
          <w:szCs w:val="20"/>
        </w:rPr>
      </w:pPr>
      <w:r w:rsidRPr="00205E97">
        <w:rPr>
          <w:rFonts w:ascii="Calibri" w:hAnsi="Calibri" w:cs="Calibri"/>
          <w:color w:val="EE0000"/>
          <w:sz w:val="20"/>
          <w:szCs w:val="20"/>
        </w:rPr>
        <w:t>* Este texto não substitui o publicado no DOE.</w:t>
      </w:r>
    </w:p>
    <w:p w14:paraId="54197767" w14:textId="3C05F39C" w:rsidR="00205E97" w:rsidRPr="00205E97" w:rsidRDefault="00205E97" w:rsidP="00205E97">
      <w:pPr>
        <w:rPr>
          <w:rFonts w:ascii="Calibri" w:hAnsi="Calibri" w:cs="Calibri"/>
          <w:sz w:val="20"/>
          <w:szCs w:val="20"/>
        </w:rPr>
      </w:pPr>
      <w:r w:rsidRPr="00205E97">
        <w:rPr>
          <w:rFonts w:ascii="Calibri" w:hAnsi="Calibri" w:cs="Calibri"/>
          <w:sz w:val="20"/>
          <w:szCs w:val="20"/>
        </w:rPr>
        <w:t xml:space="preserve">Diário Oficial do Estado de Rondônia nº </w:t>
      </w:r>
      <w:r w:rsidR="00D44C31">
        <w:rPr>
          <w:rFonts w:ascii="Calibri" w:hAnsi="Calibri" w:cs="Calibri"/>
          <w:sz w:val="20"/>
          <w:szCs w:val="20"/>
        </w:rPr>
        <w:t>178</w:t>
      </w:r>
      <w:r w:rsidRPr="00205E97">
        <w:rPr>
          <w:rFonts w:ascii="Calibri" w:hAnsi="Calibri" w:cs="Calibri"/>
          <w:sz w:val="20"/>
          <w:szCs w:val="20"/>
        </w:rPr>
        <w:br/>
        <w:t xml:space="preserve">Disponibilização: </w:t>
      </w:r>
      <w:r w:rsidR="00D44C31">
        <w:rPr>
          <w:rFonts w:ascii="Calibri" w:hAnsi="Calibri" w:cs="Calibri"/>
          <w:sz w:val="20"/>
          <w:szCs w:val="20"/>
        </w:rPr>
        <w:t>18</w:t>
      </w:r>
      <w:r w:rsidRPr="00205E97">
        <w:rPr>
          <w:rFonts w:ascii="Calibri" w:hAnsi="Calibri" w:cs="Calibri"/>
          <w:sz w:val="20"/>
          <w:szCs w:val="20"/>
        </w:rPr>
        <w:t>/0</w:t>
      </w:r>
      <w:r w:rsidR="00D44C31">
        <w:rPr>
          <w:rFonts w:ascii="Calibri" w:hAnsi="Calibri" w:cs="Calibri"/>
          <w:sz w:val="20"/>
          <w:szCs w:val="20"/>
        </w:rPr>
        <w:t>9</w:t>
      </w:r>
      <w:r w:rsidRPr="00205E97">
        <w:rPr>
          <w:rFonts w:ascii="Calibri" w:hAnsi="Calibri" w:cs="Calibri"/>
          <w:sz w:val="20"/>
          <w:szCs w:val="20"/>
        </w:rPr>
        <w:t>/2025</w:t>
      </w:r>
      <w:r w:rsidRPr="00205E97">
        <w:rPr>
          <w:rFonts w:ascii="Calibri" w:hAnsi="Calibri" w:cs="Calibri"/>
          <w:sz w:val="20"/>
          <w:szCs w:val="20"/>
        </w:rPr>
        <w:br/>
        <w:t xml:space="preserve">Publicação: </w:t>
      </w:r>
      <w:r w:rsidR="00D44C31">
        <w:rPr>
          <w:rFonts w:ascii="Calibri" w:hAnsi="Calibri" w:cs="Calibri"/>
          <w:sz w:val="20"/>
          <w:szCs w:val="20"/>
        </w:rPr>
        <w:t>18/09</w:t>
      </w:r>
      <w:r w:rsidRPr="00205E97">
        <w:rPr>
          <w:rFonts w:ascii="Calibri" w:hAnsi="Calibri" w:cs="Calibri"/>
          <w:sz w:val="20"/>
          <w:szCs w:val="20"/>
        </w:rPr>
        <w:t>/2025</w:t>
      </w:r>
    </w:p>
    <w:p w14:paraId="44EFEAF1" w14:textId="7BF4FA97" w:rsidR="00205E97" w:rsidRPr="00205E97" w:rsidRDefault="00205E97" w:rsidP="00205E97">
      <w:pPr>
        <w:jc w:val="both"/>
        <w:rPr>
          <w:rFonts w:ascii="Calibri" w:hAnsi="Calibri" w:cs="Calibri"/>
          <w:sz w:val="24"/>
          <w:szCs w:val="24"/>
        </w:rPr>
      </w:pPr>
      <w:r w:rsidRPr="00205E97">
        <w:rPr>
          <w:rFonts w:ascii="Calibri" w:hAnsi="Calibri" w:cs="Calibri"/>
          <w:sz w:val="24"/>
          <w:szCs w:val="24"/>
        </w:rPr>
        <w:t>  </w:t>
      </w:r>
    </w:p>
    <w:p w14:paraId="39E111C4" w14:textId="07D6A8E8" w:rsidR="00205E97" w:rsidRDefault="00205E97" w:rsidP="00205E97">
      <w:pPr>
        <w:jc w:val="center"/>
        <w:rPr>
          <w:rFonts w:ascii="Calibri" w:hAnsi="Calibri" w:cs="Calibri"/>
          <w:sz w:val="24"/>
          <w:szCs w:val="24"/>
        </w:rPr>
      </w:pPr>
      <w:r>
        <w:rPr>
          <w:rFonts w:ascii="Calibri" w:hAnsi="Calibri" w:cs="Calibri"/>
          <w:noProof/>
          <w:sz w:val="24"/>
          <w:szCs w:val="24"/>
        </w:rPr>
        <w:drawing>
          <wp:inline distT="0" distB="0" distL="0" distR="0" wp14:anchorId="511A733E" wp14:editId="034EAAA4">
            <wp:extent cx="1491147" cy="1144988"/>
            <wp:effectExtent l="0" t="0" r="0" b="0"/>
            <wp:docPr id="1998292586" name="Imagem 9" descr="Imagem digital fictícia de personagem de desenho animado&#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292586" name="Imagem 9" descr="Imagem digital fictícia de personagem de desenho animado&#10;&#10;O conteúdo gerado por IA pode estar incorreto."/>
                    <pic:cNvPicPr/>
                  </pic:nvPicPr>
                  <pic:blipFill>
                    <a:blip r:embed="rId4">
                      <a:extLst>
                        <a:ext uri="{28A0092B-C50C-407E-A947-70E740481C1C}">
                          <a14:useLocalDpi xmlns:a14="http://schemas.microsoft.com/office/drawing/2010/main" val="0"/>
                        </a:ext>
                      </a:extLst>
                    </a:blip>
                    <a:stretch>
                      <a:fillRect/>
                    </a:stretch>
                  </pic:blipFill>
                  <pic:spPr>
                    <a:xfrm>
                      <a:off x="0" y="0"/>
                      <a:ext cx="1496830" cy="1149351"/>
                    </a:xfrm>
                    <a:prstGeom prst="rect">
                      <a:avLst/>
                    </a:prstGeom>
                  </pic:spPr>
                </pic:pic>
              </a:graphicData>
            </a:graphic>
          </wp:inline>
        </w:drawing>
      </w:r>
    </w:p>
    <w:p w14:paraId="4314FBCA" w14:textId="3D712D3B" w:rsidR="00205E97" w:rsidRPr="00205E97" w:rsidRDefault="00205E97" w:rsidP="00205E97">
      <w:pPr>
        <w:jc w:val="center"/>
        <w:rPr>
          <w:rFonts w:ascii="Calibri" w:hAnsi="Calibri" w:cs="Calibri"/>
          <w:sz w:val="24"/>
          <w:szCs w:val="24"/>
        </w:rPr>
      </w:pPr>
      <w:r w:rsidRPr="00205E97">
        <w:rPr>
          <w:rFonts w:ascii="Calibri" w:hAnsi="Calibri" w:cs="Calibri"/>
          <w:sz w:val="24"/>
          <w:szCs w:val="24"/>
        </w:rPr>
        <w:t>GOVERNO DO ESTADO DE RONDÔNIA</w:t>
      </w:r>
      <w:r w:rsidRPr="00205E97">
        <w:rPr>
          <w:rFonts w:ascii="Calibri" w:hAnsi="Calibri" w:cs="Calibri"/>
          <w:sz w:val="24"/>
          <w:szCs w:val="24"/>
        </w:rPr>
        <w:br/>
        <w:t>Secretaria de Estado de Finanças - SEFIN</w:t>
      </w:r>
    </w:p>
    <w:p w14:paraId="7749CCDA" w14:textId="77777777" w:rsidR="00D44C31" w:rsidRPr="00D44C31" w:rsidRDefault="00D44C31" w:rsidP="00D44C31">
      <w:pPr>
        <w:jc w:val="center"/>
        <w:rPr>
          <w:rFonts w:ascii="Calibri" w:hAnsi="Calibri" w:cs="Calibri"/>
          <w:b/>
          <w:bCs/>
          <w:sz w:val="24"/>
          <w:szCs w:val="24"/>
        </w:rPr>
      </w:pPr>
      <w:r w:rsidRPr="00D44C31">
        <w:rPr>
          <w:rFonts w:ascii="Calibri" w:hAnsi="Calibri" w:cs="Calibri"/>
          <w:b/>
          <w:bCs/>
          <w:sz w:val="24"/>
          <w:szCs w:val="24"/>
        </w:rPr>
        <w:t>Portaria Conjunta Nº 57, DE 16 DE setembro DE 2025.</w:t>
      </w:r>
    </w:p>
    <w:p w14:paraId="6544AE12"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16D6D184" w14:textId="77777777" w:rsidR="00D44C31" w:rsidRPr="00D44C31" w:rsidRDefault="00D44C31" w:rsidP="00D44C31">
      <w:pPr>
        <w:ind w:left="3402"/>
        <w:jc w:val="both"/>
        <w:rPr>
          <w:rFonts w:ascii="Calibri" w:hAnsi="Calibri" w:cs="Calibri"/>
          <w:sz w:val="24"/>
          <w:szCs w:val="24"/>
        </w:rPr>
      </w:pPr>
      <w:r w:rsidRPr="00D44C31">
        <w:rPr>
          <w:rFonts w:ascii="Calibri" w:hAnsi="Calibri" w:cs="Calibri"/>
          <w:sz w:val="24"/>
          <w:szCs w:val="24"/>
        </w:rPr>
        <w:t>Dispõe sobre a atualização em lote de valores inscritos em dívida ativa com base na aplicação da taxa SELIC, em conformidade com a Lei n. 6.062/2025 e o Decreto n. 30.466/2025.</w:t>
      </w:r>
    </w:p>
    <w:p w14:paraId="4A307AC9"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40E355F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O </w:t>
      </w:r>
      <w:r w:rsidRPr="00D44C31">
        <w:rPr>
          <w:rFonts w:ascii="Calibri" w:hAnsi="Calibri" w:cs="Calibri"/>
          <w:b/>
          <w:bCs/>
          <w:sz w:val="24"/>
          <w:szCs w:val="24"/>
        </w:rPr>
        <w:t>SECRETÁRIO DE ESTADO DE FINANÇAS</w:t>
      </w:r>
      <w:r w:rsidRPr="00D44C31">
        <w:rPr>
          <w:rFonts w:ascii="Calibri" w:hAnsi="Calibri" w:cs="Calibri"/>
          <w:sz w:val="24"/>
          <w:szCs w:val="24"/>
        </w:rPr>
        <w:t> e o </w:t>
      </w:r>
      <w:r w:rsidRPr="00D44C31">
        <w:rPr>
          <w:rFonts w:ascii="Calibri" w:hAnsi="Calibri" w:cs="Calibri"/>
          <w:b/>
          <w:bCs/>
          <w:sz w:val="24"/>
          <w:szCs w:val="24"/>
        </w:rPr>
        <w:t>PROCURADOR-GERAL DO ESTADO</w:t>
      </w:r>
      <w:r w:rsidRPr="00D44C31">
        <w:rPr>
          <w:rFonts w:ascii="Calibri" w:hAnsi="Calibri" w:cs="Calibri"/>
          <w:sz w:val="24"/>
          <w:szCs w:val="24"/>
        </w:rPr>
        <w:t>, no uso das atribuições que lhes conferem o art. 7º do Decreto n. 30.466, de 17 de julho de 2025, </w:t>
      </w:r>
    </w:p>
    <w:p w14:paraId="6C65187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que o Supremo Tribunal Federal, reconhecendo repercussão geral, firmou no Tema 1062 (ARE 1.216.078) o entendimento de que "Os estados-membros e o Distrito Federal podem legislar sobre índices de correção monetária e taxas de juros de mora incidentes sobre seus créditos fiscais, limitando-se, porém, aos percentuais estabelecidos pela União para os mesmos fins";</w:t>
      </w:r>
    </w:p>
    <w:p w14:paraId="7D67F76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w:t>
      </w:r>
      <w:r w:rsidRPr="00D44C31">
        <w:rPr>
          <w:rFonts w:ascii="Calibri" w:hAnsi="Calibri" w:cs="Calibri"/>
          <w:sz w:val="24"/>
          <w:szCs w:val="24"/>
        </w:rPr>
        <w:t>O a declaração de inconstitucionalidade do art. 7º da Lei Estadual n. 4.952/2021 pelo Tribunal de Justiça do Estado de Rondônia na Ação Direta de Inconstitucionalidade nº 0806128- 48.2022.8.22.0000;</w:t>
      </w:r>
    </w:p>
    <w:p w14:paraId="188BEFF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a Lei n. 6.062, de 27 de junho de 2025, que autoriza o Poder Executivo a proceder, administrativamente, à revisão dos créditos tributários não extintos, vencidos e vincendos, em conformidade com os entendimentos jurisprudenciais mencionados;</w:t>
      </w:r>
    </w:p>
    <w:p w14:paraId="4B8252D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o Decreto n. 30.466, de 17 de julho de 2025, que regulamenta a aplicação da taxa referencial do Sistema Especial de Liquidação e Custódia - SELIC para atualização dos créditos estaduais;</w:t>
      </w:r>
    </w:p>
    <w:p w14:paraId="61B1CA97"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que o acervo de dívida ativa estadual corresponde a aproximadamente 1.034.991 (um milhão, trinta e quatro mil, novecentas e noventa e uma) Certidões de Dívida Ativa (CDAs), tornando inexequível a análise individualizada pelo corpo técnico do Núcleo Gestor da Dívida Ativa;</w:t>
      </w:r>
    </w:p>
    <w:p w14:paraId="7CB5E8AE"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que a Secretaria de Estado de Finanças possui capacidade técnica e operacional para realizar atualizações em lote, conforme demonstrado na atualização dos créditos tributários não inscritos em dívida ativa;</w:t>
      </w:r>
    </w:p>
    <w:p w14:paraId="69AC55A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que o Sistema de Administração Tributária e Financeira do Estado - SITAFE, gerido pela SEFIN, contém as principais informações relativas aos créditos inscritos em dívida ativa;</w:t>
      </w:r>
    </w:p>
    <w:p w14:paraId="135E6D4A"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lastRenderedPageBreak/>
        <w:t>CONSIDERANDO </w:t>
      </w:r>
      <w:r w:rsidRPr="00D44C31">
        <w:rPr>
          <w:rFonts w:ascii="Calibri" w:hAnsi="Calibri" w:cs="Calibri"/>
          <w:sz w:val="24"/>
          <w:szCs w:val="24"/>
        </w:rPr>
        <w:t>a necessidade de cooperação técnica e atuação coordenada entre os órgãos da Administração Pública tributária, com vistas à otimização da gestão tributária estadual; e</w:t>
      </w:r>
    </w:p>
    <w:p w14:paraId="28937B4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CONSIDERANDO</w:t>
      </w:r>
      <w:r w:rsidRPr="00D44C31">
        <w:rPr>
          <w:rFonts w:ascii="Calibri" w:hAnsi="Calibri" w:cs="Calibri"/>
          <w:sz w:val="24"/>
          <w:szCs w:val="24"/>
        </w:rPr>
        <w:t> a urgência decorrente da aprovação da lei do REFAZ 2025, que torna premente a atualização dos créditos inscritos em dívida ativa para viabilizar sua correta consolidação e parcelamento;</w:t>
      </w:r>
    </w:p>
    <w:p w14:paraId="3CEC88D7"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594A6F3B"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u w:val="single"/>
        </w:rPr>
        <w:t>R</w:t>
      </w:r>
      <w:r w:rsidRPr="00D44C31">
        <w:rPr>
          <w:rFonts w:ascii="Calibri" w:hAnsi="Calibri" w:cs="Calibri"/>
          <w:b/>
          <w:bCs/>
          <w:sz w:val="24"/>
          <w:szCs w:val="24"/>
        </w:rPr>
        <w:t> </w:t>
      </w:r>
      <w:r w:rsidRPr="00D44C31">
        <w:rPr>
          <w:rFonts w:ascii="Calibri" w:hAnsi="Calibri" w:cs="Calibri"/>
          <w:b/>
          <w:bCs/>
          <w:sz w:val="24"/>
          <w:szCs w:val="24"/>
          <w:u w:val="single"/>
        </w:rPr>
        <w:t>E</w:t>
      </w:r>
      <w:r w:rsidRPr="00D44C31">
        <w:rPr>
          <w:rFonts w:ascii="Calibri" w:hAnsi="Calibri" w:cs="Calibri"/>
          <w:b/>
          <w:bCs/>
          <w:sz w:val="24"/>
          <w:szCs w:val="24"/>
        </w:rPr>
        <w:t> </w:t>
      </w:r>
      <w:r w:rsidRPr="00D44C31">
        <w:rPr>
          <w:rFonts w:ascii="Calibri" w:hAnsi="Calibri" w:cs="Calibri"/>
          <w:b/>
          <w:bCs/>
          <w:sz w:val="24"/>
          <w:szCs w:val="24"/>
          <w:u w:val="single"/>
        </w:rPr>
        <w:t>S</w:t>
      </w:r>
      <w:r w:rsidRPr="00D44C31">
        <w:rPr>
          <w:rFonts w:ascii="Calibri" w:hAnsi="Calibri" w:cs="Calibri"/>
          <w:b/>
          <w:bCs/>
          <w:sz w:val="24"/>
          <w:szCs w:val="24"/>
        </w:rPr>
        <w:t> </w:t>
      </w:r>
      <w:r w:rsidRPr="00D44C31">
        <w:rPr>
          <w:rFonts w:ascii="Calibri" w:hAnsi="Calibri" w:cs="Calibri"/>
          <w:b/>
          <w:bCs/>
          <w:sz w:val="24"/>
          <w:szCs w:val="24"/>
          <w:u w:val="single"/>
        </w:rPr>
        <w:t>O</w:t>
      </w:r>
      <w:r w:rsidRPr="00D44C31">
        <w:rPr>
          <w:rFonts w:ascii="Calibri" w:hAnsi="Calibri" w:cs="Calibri"/>
          <w:b/>
          <w:bCs/>
          <w:sz w:val="24"/>
          <w:szCs w:val="24"/>
        </w:rPr>
        <w:t> </w:t>
      </w:r>
      <w:r w:rsidRPr="00D44C31">
        <w:rPr>
          <w:rFonts w:ascii="Calibri" w:hAnsi="Calibri" w:cs="Calibri"/>
          <w:b/>
          <w:bCs/>
          <w:sz w:val="24"/>
          <w:szCs w:val="24"/>
          <w:u w:val="single"/>
        </w:rPr>
        <w:t>L</w:t>
      </w:r>
      <w:r w:rsidRPr="00D44C31">
        <w:rPr>
          <w:rFonts w:ascii="Calibri" w:hAnsi="Calibri" w:cs="Calibri"/>
          <w:b/>
          <w:bCs/>
          <w:sz w:val="24"/>
          <w:szCs w:val="24"/>
        </w:rPr>
        <w:t> </w:t>
      </w:r>
      <w:r w:rsidRPr="00D44C31">
        <w:rPr>
          <w:rFonts w:ascii="Calibri" w:hAnsi="Calibri" w:cs="Calibri"/>
          <w:b/>
          <w:bCs/>
          <w:sz w:val="24"/>
          <w:szCs w:val="24"/>
          <w:u w:val="single"/>
        </w:rPr>
        <w:t>V</w:t>
      </w:r>
      <w:r w:rsidRPr="00D44C31">
        <w:rPr>
          <w:rFonts w:ascii="Calibri" w:hAnsi="Calibri" w:cs="Calibri"/>
          <w:b/>
          <w:bCs/>
          <w:sz w:val="24"/>
          <w:szCs w:val="24"/>
        </w:rPr>
        <w:t> </w:t>
      </w:r>
      <w:r w:rsidRPr="00D44C31">
        <w:rPr>
          <w:rFonts w:ascii="Calibri" w:hAnsi="Calibri" w:cs="Calibri"/>
          <w:b/>
          <w:bCs/>
          <w:sz w:val="24"/>
          <w:szCs w:val="24"/>
          <w:u w:val="single"/>
        </w:rPr>
        <w:t>E</w:t>
      </w:r>
      <w:r w:rsidRPr="00D44C31">
        <w:rPr>
          <w:rFonts w:ascii="Calibri" w:hAnsi="Calibri" w:cs="Calibri"/>
          <w:b/>
          <w:bCs/>
          <w:sz w:val="24"/>
          <w:szCs w:val="24"/>
        </w:rPr>
        <w:t> </w:t>
      </w:r>
      <w:r w:rsidRPr="00D44C31">
        <w:rPr>
          <w:rFonts w:ascii="Calibri" w:hAnsi="Calibri" w:cs="Calibri"/>
          <w:b/>
          <w:bCs/>
          <w:sz w:val="24"/>
          <w:szCs w:val="24"/>
          <w:u w:val="single"/>
        </w:rPr>
        <w:t>M</w:t>
      </w:r>
      <w:r w:rsidRPr="00D44C31">
        <w:rPr>
          <w:rFonts w:ascii="Calibri" w:hAnsi="Calibri" w:cs="Calibri"/>
          <w:b/>
          <w:bCs/>
          <w:sz w:val="24"/>
          <w:szCs w:val="24"/>
        </w:rPr>
        <w:t>:</w:t>
      </w:r>
    </w:p>
    <w:p w14:paraId="1799FD15"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098ECF85"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I</w:t>
      </w:r>
    </w:p>
    <w:p w14:paraId="46BBE055"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DAS DISPOSIÇÕES GERAIS</w:t>
      </w:r>
    </w:p>
    <w:p w14:paraId="3099ED81"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1C39326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1º</w:t>
      </w:r>
      <w:r w:rsidRPr="00D44C31">
        <w:rPr>
          <w:rFonts w:ascii="Calibri" w:hAnsi="Calibri" w:cs="Calibri"/>
          <w:sz w:val="24"/>
          <w:szCs w:val="24"/>
        </w:rPr>
        <w:t> Fica autorizada a Secretaria de Estado de Finanças - SEFIN, por meio de sua Gerência de Arrecadação - GEAR, a proceder à atualização em lote dos valores das Certidões de Dívida Ativa - CDAs relativas aos créditos de natureza tributária administrados pela Coordenadoria da Receita Estadual, aplicando exclusivamente a taxa referencial do Sistema Especial de Liquidação e Custódia - SELIC, nos termos da Lei n. 6.062/2025 e do Decreto n. 30.466/2025.</w:t>
      </w:r>
    </w:p>
    <w:p w14:paraId="59503ACA"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75EC4440"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1º A SEFIN-GEAR possui autonomia técnica para definir a metodologia, os procedimentos operacionais e os critérios técnicos necessários à execução da atualização em lote, observadas as disposições legais vigentes.</w:t>
      </w:r>
    </w:p>
    <w:p w14:paraId="04034889"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2º A autorização de que trata o </w:t>
      </w:r>
      <w:r w:rsidRPr="00D44C31">
        <w:rPr>
          <w:rFonts w:ascii="Calibri" w:hAnsi="Calibri" w:cs="Calibri"/>
          <w:i/>
          <w:iCs/>
          <w:sz w:val="24"/>
          <w:szCs w:val="24"/>
        </w:rPr>
        <w:t>caput</w:t>
      </w:r>
      <w:r w:rsidRPr="00D44C31">
        <w:rPr>
          <w:rFonts w:ascii="Calibri" w:hAnsi="Calibri" w:cs="Calibri"/>
          <w:sz w:val="24"/>
          <w:szCs w:val="24"/>
        </w:rPr>
        <w:t> não implica transferência ou renúncia da competência institucional da Procuradoria Geral do Estado sobre a gestão da dívida ativa, constituindo medida de cooperação técnica para otimização dos procedimentos administrativos.</w:t>
      </w:r>
    </w:p>
    <w:p w14:paraId="0D0257D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2DF14D38"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2º </w:t>
      </w:r>
      <w:r w:rsidRPr="00D44C31">
        <w:rPr>
          <w:rFonts w:ascii="Calibri" w:hAnsi="Calibri" w:cs="Calibri"/>
          <w:sz w:val="24"/>
          <w:szCs w:val="24"/>
        </w:rPr>
        <w:t>A atualização em lote abrangerá todas as CDAs relativas aos créditos de natureza tributária administrados pela Coordenadoria da Receita Estadual que ainda não foram objeto de atualização específica pela taxa SELIC, observando-se a metodologia estabelecida no Decreto n. 30.466/2025.</w:t>
      </w:r>
    </w:p>
    <w:p w14:paraId="1D2C1CF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405FC50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1º Ficam expressamente excluídas do escopo desta Portaria Conjunta as atualizações de créditos tributários e casos concretos submetidos à apreciação da Administração Pública por meio de processos administrativos.</w:t>
      </w:r>
    </w:p>
    <w:p w14:paraId="3515CE0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208E608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2º Nos casos em que não for possível a atualização em lote, caberá ao PGE-NGDA proceder à alteração manual.</w:t>
      </w:r>
    </w:p>
    <w:p w14:paraId="111AD1E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4CF4164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3º </w:t>
      </w:r>
      <w:r w:rsidRPr="00D44C31">
        <w:rPr>
          <w:rFonts w:ascii="Calibri" w:hAnsi="Calibri" w:cs="Calibri"/>
          <w:sz w:val="24"/>
          <w:szCs w:val="24"/>
        </w:rPr>
        <w:t>Para fins desta Portaria Conjunta, considera-se:</w:t>
      </w:r>
    </w:p>
    <w:p w14:paraId="4B06E5C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 - Atualização em lote: procedimento automatizado de recálculo dos valores das CDAs mediante aplicação da taxa SELIC, utilizando-se de parametrizações sistêmicas;</w:t>
      </w:r>
    </w:p>
    <w:p w14:paraId="62A9CA2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 - CDAs elegíveis: Certidões de Dívida Ativa que ainda não foram atualizadas pela taxa SELIC ou que possuam índices de correção superiores aos estabelecidos pela União;</w:t>
      </w:r>
    </w:p>
    <w:p w14:paraId="26BDF3B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lastRenderedPageBreak/>
        <w:t>III - Sistema base: Sistema de Administração Tributária e Financeira do Estado - SITAFE, que contém os dados primários dos créditos inscritos.</w:t>
      </w:r>
    </w:p>
    <w:p w14:paraId="603CA03B" w14:textId="53B17C8B" w:rsidR="00D44C31" w:rsidRPr="00D44C31" w:rsidRDefault="00D44C31" w:rsidP="00D44C31">
      <w:pPr>
        <w:jc w:val="center"/>
        <w:rPr>
          <w:rFonts w:ascii="Calibri" w:hAnsi="Calibri" w:cs="Calibri"/>
          <w:sz w:val="24"/>
          <w:szCs w:val="24"/>
        </w:rPr>
      </w:pPr>
    </w:p>
    <w:p w14:paraId="10DBD9F8"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II</w:t>
      </w:r>
    </w:p>
    <w:p w14:paraId="5D45AD19"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DOS PROCEDIMENTOS E DA METODOLOGIA</w:t>
      </w:r>
    </w:p>
    <w:p w14:paraId="550E8627"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293D597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4º</w:t>
      </w:r>
      <w:r w:rsidRPr="00D44C31">
        <w:rPr>
          <w:rFonts w:ascii="Calibri" w:hAnsi="Calibri" w:cs="Calibri"/>
          <w:sz w:val="24"/>
          <w:szCs w:val="24"/>
        </w:rPr>
        <w:t>. A SEFIN-GEAR deverá observar rigorosamente a metodologia prevista no Decreto n. 30.466/2025, especialmente:</w:t>
      </w:r>
    </w:p>
    <w:p w14:paraId="319EE9A7"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aplicação</w:t>
      </w:r>
      <w:proofErr w:type="gramEnd"/>
      <w:r w:rsidRPr="00D44C31">
        <w:rPr>
          <w:rFonts w:ascii="Calibri" w:hAnsi="Calibri" w:cs="Calibri"/>
          <w:sz w:val="24"/>
          <w:szCs w:val="24"/>
        </w:rPr>
        <w:t xml:space="preserve"> da taxa SELIC desde a data do vencimento do respectivo crédito até o mês da inscrição em dívida ativa;</w:t>
      </w:r>
    </w:p>
    <w:p w14:paraId="38766BF5"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II - </w:t>
      </w:r>
      <w:proofErr w:type="gramStart"/>
      <w:r w:rsidRPr="00D44C31">
        <w:rPr>
          <w:rFonts w:ascii="Calibri" w:hAnsi="Calibri" w:cs="Calibri"/>
          <w:sz w:val="24"/>
          <w:szCs w:val="24"/>
        </w:rPr>
        <w:t>consideração</w:t>
      </w:r>
      <w:proofErr w:type="gramEnd"/>
      <w:r w:rsidRPr="00D44C31">
        <w:rPr>
          <w:rFonts w:ascii="Calibri" w:hAnsi="Calibri" w:cs="Calibri"/>
          <w:sz w:val="24"/>
          <w:szCs w:val="24"/>
        </w:rPr>
        <w:t xml:space="preserve"> das informações constantes das planilhas ou demonstrativos de apuração existentes no SITAFE;</w:t>
      </w:r>
    </w:p>
    <w:p w14:paraId="32186A00"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aplicação da metodologia do § 1º do art. 3º do Decreto n. 30.466/2025 quando não houver planilha ou demonstrativo no sistema;</w:t>
      </w:r>
    </w:p>
    <w:p w14:paraId="6DA74D3A"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observância</w:t>
      </w:r>
      <w:proofErr w:type="gramEnd"/>
      <w:r w:rsidRPr="00D44C31">
        <w:rPr>
          <w:rFonts w:ascii="Calibri" w:hAnsi="Calibri" w:cs="Calibri"/>
          <w:sz w:val="24"/>
          <w:szCs w:val="24"/>
        </w:rPr>
        <w:t xml:space="preserve"> das regras específicas para parcelamentos em curso, rescindidos ou vinculados a programas de recuperação de crédito fiscal.</w:t>
      </w:r>
    </w:p>
    <w:p w14:paraId="464A91F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35CFBB1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5º</w:t>
      </w:r>
      <w:r w:rsidRPr="00D44C31">
        <w:rPr>
          <w:rFonts w:ascii="Calibri" w:hAnsi="Calibri" w:cs="Calibri"/>
          <w:sz w:val="24"/>
          <w:szCs w:val="24"/>
        </w:rPr>
        <w:t> A SEFIN-GEAR deverá gerar, para cada lote de CDAs atualizadas, arquivo digital com os dados atualizados em formato compatível com o sistema Mapinguari.</w:t>
      </w:r>
    </w:p>
    <w:p w14:paraId="7D48C721"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6C0C2729"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III</w:t>
      </w:r>
    </w:p>
    <w:p w14:paraId="29473892"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DA AUTONOMIA TÉCNICA E DOS CONTROLES</w:t>
      </w:r>
    </w:p>
    <w:p w14:paraId="2C520970"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6240E3B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6º </w:t>
      </w:r>
      <w:r w:rsidRPr="00D44C31">
        <w:rPr>
          <w:rFonts w:ascii="Calibri" w:hAnsi="Calibri" w:cs="Calibri"/>
          <w:sz w:val="24"/>
          <w:szCs w:val="24"/>
        </w:rPr>
        <w:t>A SEFIN-GEAR possui autonomia técnica para:</w:t>
      </w:r>
    </w:p>
    <w:p w14:paraId="6E6C5E4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definir</w:t>
      </w:r>
      <w:proofErr w:type="gramEnd"/>
      <w:r w:rsidRPr="00D44C31">
        <w:rPr>
          <w:rFonts w:ascii="Calibri" w:hAnsi="Calibri" w:cs="Calibri"/>
          <w:sz w:val="24"/>
          <w:szCs w:val="24"/>
        </w:rPr>
        <w:t xml:space="preserve"> os critérios de priorização e faseamento da atualização;</w:t>
      </w:r>
    </w:p>
    <w:p w14:paraId="4E6AE872"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II - </w:t>
      </w:r>
      <w:proofErr w:type="gramStart"/>
      <w:r w:rsidRPr="00D44C31">
        <w:rPr>
          <w:rFonts w:ascii="Calibri" w:hAnsi="Calibri" w:cs="Calibri"/>
          <w:sz w:val="24"/>
          <w:szCs w:val="24"/>
        </w:rPr>
        <w:t>estabelecer</w:t>
      </w:r>
      <w:proofErr w:type="gramEnd"/>
      <w:r w:rsidRPr="00D44C31">
        <w:rPr>
          <w:rFonts w:ascii="Calibri" w:hAnsi="Calibri" w:cs="Calibri"/>
          <w:sz w:val="24"/>
          <w:szCs w:val="24"/>
        </w:rPr>
        <w:t xml:space="preserve"> os procedimentos operacionais e sistêmicos necessários;</w:t>
      </w:r>
    </w:p>
    <w:p w14:paraId="76643F0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determinar a metodologia de validação e controle de qualidade;</w:t>
      </w:r>
    </w:p>
    <w:p w14:paraId="7ED37CD5"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decidir</w:t>
      </w:r>
      <w:proofErr w:type="gramEnd"/>
      <w:r w:rsidRPr="00D44C31">
        <w:rPr>
          <w:rFonts w:ascii="Calibri" w:hAnsi="Calibri" w:cs="Calibri"/>
          <w:sz w:val="24"/>
          <w:szCs w:val="24"/>
        </w:rPr>
        <w:t xml:space="preserve"> sobre questões técnicas relacionadas aos cálculos e parametrizações;</w:t>
      </w:r>
    </w:p>
    <w:p w14:paraId="1268F0B1"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V - </w:t>
      </w:r>
      <w:proofErr w:type="gramStart"/>
      <w:r w:rsidRPr="00D44C31">
        <w:rPr>
          <w:rFonts w:ascii="Calibri" w:hAnsi="Calibri" w:cs="Calibri"/>
          <w:sz w:val="24"/>
          <w:szCs w:val="24"/>
        </w:rPr>
        <w:t>estabelecer</w:t>
      </w:r>
      <w:proofErr w:type="gramEnd"/>
      <w:r w:rsidRPr="00D44C31">
        <w:rPr>
          <w:rFonts w:ascii="Calibri" w:hAnsi="Calibri" w:cs="Calibri"/>
          <w:sz w:val="24"/>
          <w:szCs w:val="24"/>
        </w:rPr>
        <w:t xml:space="preserve"> cronogramas e prazos para execução das atividades.</w:t>
      </w:r>
    </w:p>
    <w:p w14:paraId="5EE66CC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Parágrafo único. A autonomia técnica da SEFIN-GEAR não afasta o dever de prestar à Procuradoria Geral do Estado todas as informações que se façam necessárias no tocante aos procedimentos de atualização, sempre que solicitado.</w:t>
      </w:r>
    </w:p>
    <w:p w14:paraId="48E7C3C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7E4F10BE"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7º</w:t>
      </w:r>
      <w:r w:rsidRPr="00D44C31">
        <w:rPr>
          <w:rFonts w:ascii="Calibri" w:hAnsi="Calibri" w:cs="Calibri"/>
          <w:sz w:val="24"/>
          <w:szCs w:val="24"/>
        </w:rPr>
        <w:t> A SEFIN-GEAR implementará os controles de qualidade que julgar tecnicamente adequados, podendo incluir:</w:t>
      </w:r>
    </w:p>
    <w:p w14:paraId="3A424C99"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validação</w:t>
      </w:r>
      <w:proofErr w:type="gramEnd"/>
      <w:r w:rsidRPr="00D44C31">
        <w:rPr>
          <w:rFonts w:ascii="Calibri" w:hAnsi="Calibri" w:cs="Calibri"/>
          <w:sz w:val="24"/>
          <w:szCs w:val="24"/>
        </w:rPr>
        <w:t xml:space="preserve"> automatizada dos cálculos;</w:t>
      </w:r>
    </w:p>
    <w:p w14:paraId="1C8161E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lastRenderedPageBreak/>
        <w:t xml:space="preserve">II - </w:t>
      </w:r>
      <w:proofErr w:type="gramStart"/>
      <w:r w:rsidRPr="00D44C31">
        <w:rPr>
          <w:rFonts w:ascii="Calibri" w:hAnsi="Calibri" w:cs="Calibri"/>
          <w:sz w:val="24"/>
          <w:szCs w:val="24"/>
        </w:rPr>
        <w:t>conferência</w:t>
      </w:r>
      <w:proofErr w:type="gramEnd"/>
      <w:r w:rsidRPr="00D44C31">
        <w:rPr>
          <w:rFonts w:ascii="Calibri" w:hAnsi="Calibri" w:cs="Calibri"/>
          <w:sz w:val="24"/>
          <w:szCs w:val="24"/>
        </w:rPr>
        <w:t xml:space="preserve"> por amostragem;</w:t>
      </w:r>
    </w:p>
    <w:p w14:paraId="2A967A7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revisão de casos complexos ou de maior valor;</w:t>
      </w:r>
    </w:p>
    <w:p w14:paraId="69E612D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auditoria</w:t>
      </w:r>
      <w:proofErr w:type="gramEnd"/>
      <w:r w:rsidRPr="00D44C31">
        <w:rPr>
          <w:rFonts w:ascii="Calibri" w:hAnsi="Calibri" w:cs="Calibri"/>
          <w:sz w:val="24"/>
          <w:szCs w:val="24"/>
        </w:rPr>
        <w:t xml:space="preserve"> interna dos procedimentos.</w:t>
      </w:r>
    </w:p>
    <w:p w14:paraId="3A6E48A8"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33E61A7E"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8º</w:t>
      </w:r>
      <w:r w:rsidRPr="00D44C31">
        <w:rPr>
          <w:rFonts w:ascii="Calibri" w:hAnsi="Calibri" w:cs="Calibri"/>
          <w:sz w:val="24"/>
          <w:szCs w:val="24"/>
        </w:rPr>
        <w:t> Sem prejuízo de outras atribuições, a Procuradoria Geral do Estado, por meio do Núcleo Gestor da Dívida Ativa, atuará para:</w:t>
      </w:r>
    </w:p>
    <w:p w14:paraId="1D9315D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receber</w:t>
      </w:r>
      <w:proofErr w:type="gramEnd"/>
      <w:r w:rsidRPr="00D44C31">
        <w:rPr>
          <w:rFonts w:ascii="Calibri" w:hAnsi="Calibri" w:cs="Calibri"/>
          <w:sz w:val="24"/>
          <w:szCs w:val="24"/>
        </w:rPr>
        <w:t xml:space="preserve"> os dados atualizados fornecidos pela SEFIN-GEAR;</w:t>
      </w:r>
    </w:p>
    <w:p w14:paraId="2EBA7AB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II - </w:t>
      </w:r>
      <w:proofErr w:type="gramStart"/>
      <w:r w:rsidRPr="00D44C31">
        <w:rPr>
          <w:rFonts w:ascii="Calibri" w:hAnsi="Calibri" w:cs="Calibri"/>
          <w:sz w:val="24"/>
          <w:szCs w:val="24"/>
        </w:rPr>
        <w:t>implementar</w:t>
      </w:r>
      <w:proofErr w:type="gramEnd"/>
      <w:r w:rsidRPr="00D44C31">
        <w:rPr>
          <w:rFonts w:ascii="Calibri" w:hAnsi="Calibri" w:cs="Calibri"/>
          <w:sz w:val="24"/>
          <w:szCs w:val="24"/>
        </w:rPr>
        <w:t xml:space="preserve"> as atualizações no sistema Mapinguari;</w:t>
      </w:r>
    </w:p>
    <w:p w14:paraId="430226CE"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comunicar as atualizações aos órgãos de execução fiscal;</w:t>
      </w:r>
    </w:p>
    <w:p w14:paraId="4497776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solicitar</w:t>
      </w:r>
      <w:proofErr w:type="gramEnd"/>
      <w:r w:rsidRPr="00D44C31">
        <w:rPr>
          <w:rFonts w:ascii="Calibri" w:hAnsi="Calibri" w:cs="Calibri"/>
          <w:sz w:val="24"/>
          <w:szCs w:val="24"/>
        </w:rPr>
        <w:t xml:space="preserve"> esclarecimentos sobre aspectos jurídicos, quando necessário.</w:t>
      </w:r>
    </w:p>
    <w:p w14:paraId="01CC06E8"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Parágrafo único. A Procuradoria Geral do Estado poderá realizar a revisão e alterações de valores das Certidões de Dívida Ativa, quando verificar erro ou incongruência nos valores atualizados em lote.</w:t>
      </w:r>
    </w:p>
    <w:p w14:paraId="0B31A204"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0A211B9F"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IV</w:t>
      </w:r>
    </w:p>
    <w:p w14:paraId="332D54A8"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DAS RESPONSABILIDADES</w:t>
      </w:r>
    </w:p>
    <w:p w14:paraId="6D157A90"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6C0BCED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9º</w:t>
      </w:r>
      <w:r w:rsidRPr="00D44C31">
        <w:rPr>
          <w:rFonts w:ascii="Calibri" w:hAnsi="Calibri" w:cs="Calibri"/>
          <w:sz w:val="24"/>
          <w:szCs w:val="24"/>
        </w:rPr>
        <w:t> Compete à SEFIN-GEAR:</w:t>
      </w:r>
    </w:p>
    <w:p w14:paraId="1C0AD092"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executar</w:t>
      </w:r>
      <w:proofErr w:type="gramEnd"/>
      <w:r w:rsidRPr="00D44C31">
        <w:rPr>
          <w:rFonts w:ascii="Calibri" w:hAnsi="Calibri" w:cs="Calibri"/>
          <w:sz w:val="24"/>
          <w:szCs w:val="24"/>
        </w:rPr>
        <w:t xml:space="preserve"> os procedimentos de atualização em lote conforme metodologia que estabelecer;</w:t>
      </w:r>
    </w:p>
    <w:p w14:paraId="65F02902"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II - </w:t>
      </w:r>
      <w:proofErr w:type="gramStart"/>
      <w:r w:rsidRPr="00D44C31">
        <w:rPr>
          <w:rFonts w:ascii="Calibri" w:hAnsi="Calibri" w:cs="Calibri"/>
          <w:sz w:val="24"/>
          <w:szCs w:val="24"/>
        </w:rPr>
        <w:t>definir e implementar</w:t>
      </w:r>
      <w:proofErr w:type="gramEnd"/>
      <w:r w:rsidRPr="00D44C31">
        <w:rPr>
          <w:rFonts w:ascii="Calibri" w:hAnsi="Calibri" w:cs="Calibri"/>
          <w:sz w:val="24"/>
          <w:szCs w:val="24"/>
        </w:rPr>
        <w:t xml:space="preserve"> os controles de qualidade adequados;</w:t>
      </w:r>
    </w:p>
    <w:p w14:paraId="496225D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estabelecer cronogramas e prazos para as atividades;</w:t>
      </w:r>
    </w:p>
    <w:p w14:paraId="55537DF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decidir</w:t>
      </w:r>
      <w:proofErr w:type="gramEnd"/>
      <w:r w:rsidRPr="00D44C31">
        <w:rPr>
          <w:rFonts w:ascii="Calibri" w:hAnsi="Calibri" w:cs="Calibri"/>
          <w:sz w:val="24"/>
          <w:szCs w:val="24"/>
        </w:rPr>
        <w:t xml:space="preserve"> sobre questões técnicas e operacionais;</w:t>
      </w:r>
    </w:p>
    <w:p w14:paraId="7F13DE57"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V - </w:t>
      </w:r>
      <w:proofErr w:type="gramStart"/>
      <w:r w:rsidRPr="00D44C31">
        <w:rPr>
          <w:rFonts w:ascii="Calibri" w:hAnsi="Calibri" w:cs="Calibri"/>
          <w:sz w:val="24"/>
          <w:szCs w:val="24"/>
        </w:rPr>
        <w:t>manter</w:t>
      </w:r>
      <w:proofErr w:type="gramEnd"/>
      <w:r w:rsidRPr="00D44C31">
        <w:rPr>
          <w:rFonts w:ascii="Calibri" w:hAnsi="Calibri" w:cs="Calibri"/>
          <w:sz w:val="24"/>
          <w:szCs w:val="24"/>
        </w:rPr>
        <w:t xml:space="preserve"> registros que julgar necessários dos procedimentos realizados;</w:t>
      </w:r>
    </w:p>
    <w:p w14:paraId="3845B49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VI - </w:t>
      </w:r>
      <w:proofErr w:type="gramStart"/>
      <w:r w:rsidRPr="00D44C31">
        <w:rPr>
          <w:rFonts w:ascii="Calibri" w:hAnsi="Calibri" w:cs="Calibri"/>
          <w:sz w:val="24"/>
          <w:szCs w:val="24"/>
        </w:rPr>
        <w:t>fornecer</w:t>
      </w:r>
      <w:proofErr w:type="gramEnd"/>
      <w:r w:rsidRPr="00D44C31">
        <w:rPr>
          <w:rFonts w:ascii="Calibri" w:hAnsi="Calibri" w:cs="Calibri"/>
          <w:sz w:val="24"/>
          <w:szCs w:val="24"/>
        </w:rPr>
        <w:t xml:space="preserve"> os dados atualizados ao PGE-NGDA no formato que definir.</w:t>
      </w:r>
    </w:p>
    <w:p w14:paraId="652E61A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3F65C24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10.</w:t>
      </w:r>
      <w:r w:rsidRPr="00D44C31">
        <w:rPr>
          <w:rFonts w:ascii="Calibri" w:hAnsi="Calibri" w:cs="Calibri"/>
          <w:sz w:val="24"/>
          <w:szCs w:val="24"/>
        </w:rPr>
        <w:t> Compete ao PGE-NGDA:</w:t>
      </w:r>
    </w:p>
    <w:p w14:paraId="3DDAD98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 - </w:t>
      </w:r>
      <w:proofErr w:type="gramStart"/>
      <w:r w:rsidRPr="00D44C31">
        <w:rPr>
          <w:rFonts w:ascii="Calibri" w:hAnsi="Calibri" w:cs="Calibri"/>
          <w:sz w:val="24"/>
          <w:szCs w:val="24"/>
        </w:rPr>
        <w:t>receber e implementar</w:t>
      </w:r>
      <w:proofErr w:type="gramEnd"/>
      <w:r w:rsidRPr="00D44C31">
        <w:rPr>
          <w:rFonts w:ascii="Calibri" w:hAnsi="Calibri" w:cs="Calibri"/>
          <w:sz w:val="24"/>
          <w:szCs w:val="24"/>
        </w:rPr>
        <w:t xml:space="preserve"> no sistema Mapinguari os dados fornecidos pela SEFIN-GEAR;</w:t>
      </w:r>
    </w:p>
    <w:p w14:paraId="0FD74784"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II - </w:t>
      </w:r>
      <w:proofErr w:type="gramStart"/>
      <w:r w:rsidRPr="00D44C31">
        <w:rPr>
          <w:rFonts w:ascii="Calibri" w:hAnsi="Calibri" w:cs="Calibri"/>
          <w:sz w:val="24"/>
          <w:szCs w:val="24"/>
        </w:rPr>
        <w:t>manter</w:t>
      </w:r>
      <w:proofErr w:type="gramEnd"/>
      <w:r w:rsidRPr="00D44C31">
        <w:rPr>
          <w:rFonts w:ascii="Calibri" w:hAnsi="Calibri" w:cs="Calibri"/>
          <w:sz w:val="24"/>
          <w:szCs w:val="24"/>
        </w:rPr>
        <w:t xml:space="preserve"> a responsabilidade institucional sobre a gestão da dívida ativa;</w:t>
      </w:r>
    </w:p>
    <w:p w14:paraId="50DF4D06"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III - comunicar aos órgãos de execução fiscal as atualizações implementadas;</w:t>
      </w:r>
    </w:p>
    <w:p w14:paraId="219AB041"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IV - </w:t>
      </w:r>
      <w:proofErr w:type="gramStart"/>
      <w:r w:rsidRPr="00D44C31">
        <w:rPr>
          <w:rFonts w:ascii="Calibri" w:hAnsi="Calibri" w:cs="Calibri"/>
          <w:sz w:val="24"/>
          <w:szCs w:val="24"/>
        </w:rPr>
        <w:t>prestar</w:t>
      </w:r>
      <w:proofErr w:type="gramEnd"/>
      <w:r w:rsidRPr="00D44C31">
        <w:rPr>
          <w:rFonts w:ascii="Calibri" w:hAnsi="Calibri" w:cs="Calibri"/>
          <w:sz w:val="24"/>
          <w:szCs w:val="24"/>
        </w:rPr>
        <w:t xml:space="preserve"> informações jurídicas, quando solicitadas pela SEFIN-GEAR;</w:t>
      </w:r>
    </w:p>
    <w:p w14:paraId="4668759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xml:space="preserve">V - </w:t>
      </w:r>
      <w:proofErr w:type="gramStart"/>
      <w:r w:rsidRPr="00D44C31">
        <w:rPr>
          <w:rFonts w:ascii="Calibri" w:hAnsi="Calibri" w:cs="Calibri"/>
          <w:sz w:val="24"/>
          <w:szCs w:val="24"/>
        </w:rPr>
        <w:t>garantir</w:t>
      </w:r>
      <w:proofErr w:type="gramEnd"/>
      <w:r w:rsidRPr="00D44C31">
        <w:rPr>
          <w:rFonts w:ascii="Calibri" w:hAnsi="Calibri" w:cs="Calibri"/>
          <w:sz w:val="24"/>
          <w:szCs w:val="24"/>
        </w:rPr>
        <w:t xml:space="preserve"> que os sistemas sob sua responsabilidade estejam aptos a receber os dados atualizados.</w:t>
      </w:r>
    </w:p>
    <w:p w14:paraId="30751D98"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17FD18FA"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V</w:t>
      </w:r>
    </w:p>
    <w:p w14:paraId="63B3F09B"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DOS PRAZOS E DO CRONOGRAMA</w:t>
      </w:r>
    </w:p>
    <w:p w14:paraId="09225695"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056057AB"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lastRenderedPageBreak/>
        <w:t>Art. 11. </w:t>
      </w:r>
      <w:r w:rsidRPr="00D44C31">
        <w:rPr>
          <w:rFonts w:ascii="Calibri" w:hAnsi="Calibri" w:cs="Calibri"/>
          <w:sz w:val="24"/>
          <w:szCs w:val="24"/>
        </w:rPr>
        <w:t>A SEFIN-GEAR estabelecerá autonomamente o cronograma de execução da atualização em lote, observando suas capacidades técnicas e operacionais.</w:t>
      </w:r>
    </w:p>
    <w:p w14:paraId="67BD5239" w14:textId="784F26CF"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Parágrafo único. A SEFIN-GEAR comunicará ao PGE-NGDA o cronograma estabelecido, podendo alterá-lo conforme necessidades técnicas, sem necessidade de concordância prévia.</w:t>
      </w:r>
    </w:p>
    <w:p w14:paraId="6508307E"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06393F2C"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12. </w:t>
      </w:r>
      <w:r w:rsidRPr="00D44C31">
        <w:rPr>
          <w:rFonts w:ascii="Calibri" w:hAnsi="Calibri" w:cs="Calibri"/>
          <w:sz w:val="24"/>
          <w:szCs w:val="24"/>
        </w:rPr>
        <w:t>Concluída a atualização em lote, a SEFIN-GEAR elaborará relatório final consolidado, contendo as informações que julgar relevantes sobre o processo executado.</w:t>
      </w:r>
    </w:p>
    <w:p w14:paraId="5D3935F4"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76D7A99A"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CAPÍTULO VI</w:t>
      </w:r>
    </w:p>
    <w:p w14:paraId="4A928297"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DAS DISPOSIÇÕES FINAIS</w:t>
      </w:r>
    </w:p>
    <w:p w14:paraId="71A8A841"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6E4BB7C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13.</w:t>
      </w:r>
      <w:r w:rsidRPr="00D44C31">
        <w:rPr>
          <w:rFonts w:ascii="Calibri" w:hAnsi="Calibri" w:cs="Calibri"/>
          <w:sz w:val="24"/>
          <w:szCs w:val="24"/>
        </w:rPr>
        <w:t> Os casos omissos ou situações excepcionais serão resolvidos em conjunto pelos signatários desta Portaria Conjunta.</w:t>
      </w:r>
    </w:p>
    <w:p w14:paraId="69D72CC8"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7EDDD17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14. </w:t>
      </w:r>
      <w:r w:rsidRPr="00D44C31">
        <w:rPr>
          <w:rFonts w:ascii="Calibri" w:hAnsi="Calibri" w:cs="Calibri"/>
          <w:sz w:val="24"/>
          <w:szCs w:val="24"/>
        </w:rPr>
        <w:t>A Portaria Conjunta poderá ser revogada unilateralmente pelo Secretário de Estado de Finanças ou pelo Procurador-Geral do Estado, quando entender que ela não mais é necessária.</w:t>
      </w:r>
    </w:p>
    <w:p w14:paraId="1EBAAAA3"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7A30FD5D"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15. </w:t>
      </w:r>
      <w:r w:rsidRPr="00D44C31">
        <w:rPr>
          <w:rFonts w:ascii="Calibri" w:hAnsi="Calibri" w:cs="Calibri"/>
          <w:sz w:val="24"/>
          <w:szCs w:val="24"/>
        </w:rPr>
        <w:t>Revogam-se as disposições em contrário.</w:t>
      </w:r>
    </w:p>
    <w:p w14:paraId="4474C3EF"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sz w:val="24"/>
          <w:szCs w:val="24"/>
        </w:rPr>
        <w:t> </w:t>
      </w:r>
    </w:p>
    <w:p w14:paraId="4E8D7812" w14:textId="77777777" w:rsidR="00D44C31" w:rsidRPr="00D44C31" w:rsidRDefault="00D44C31" w:rsidP="00D44C31">
      <w:pPr>
        <w:ind w:firstLine="709"/>
        <w:jc w:val="both"/>
        <w:rPr>
          <w:rFonts w:ascii="Calibri" w:hAnsi="Calibri" w:cs="Calibri"/>
          <w:sz w:val="24"/>
          <w:szCs w:val="24"/>
        </w:rPr>
      </w:pPr>
      <w:r w:rsidRPr="00D44C31">
        <w:rPr>
          <w:rFonts w:ascii="Calibri" w:hAnsi="Calibri" w:cs="Calibri"/>
          <w:b/>
          <w:bCs/>
          <w:sz w:val="24"/>
          <w:szCs w:val="24"/>
        </w:rPr>
        <w:t>Art. 16. </w:t>
      </w:r>
      <w:r w:rsidRPr="00D44C31">
        <w:rPr>
          <w:rFonts w:ascii="Calibri" w:hAnsi="Calibri" w:cs="Calibri"/>
          <w:sz w:val="24"/>
          <w:szCs w:val="24"/>
        </w:rPr>
        <w:t>Esta Portaria Conjunta entra em vigor na data de sua publicação, com vigência até 31 de dezembro de 2025, sendo vedada a sua prorrogação automática.</w:t>
      </w:r>
    </w:p>
    <w:p w14:paraId="244438FC" w14:textId="77777777" w:rsidR="00D44C31" w:rsidRPr="00D44C31" w:rsidRDefault="00D44C31" w:rsidP="00D44C31">
      <w:pPr>
        <w:jc w:val="both"/>
        <w:rPr>
          <w:rFonts w:ascii="Calibri" w:hAnsi="Calibri" w:cs="Calibri"/>
          <w:sz w:val="24"/>
          <w:szCs w:val="24"/>
        </w:rPr>
      </w:pPr>
      <w:r w:rsidRPr="00D44C31">
        <w:rPr>
          <w:rFonts w:ascii="Calibri" w:hAnsi="Calibri" w:cs="Calibri"/>
          <w:sz w:val="24"/>
          <w:szCs w:val="24"/>
        </w:rPr>
        <w:t> </w:t>
      </w:r>
    </w:p>
    <w:p w14:paraId="684AEB58" w14:textId="77777777" w:rsidR="00D44C31" w:rsidRPr="00D44C31" w:rsidRDefault="00D44C31" w:rsidP="00D44C31">
      <w:pPr>
        <w:jc w:val="center"/>
        <w:rPr>
          <w:rFonts w:ascii="Calibri" w:hAnsi="Calibri" w:cs="Calibri"/>
          <w:sz w:val="24"/>
          <w:szCs w:val="24"/>
        </w:rPr>
      </w:pPr>
      <w:r w:rsidRPr="00D44C31">
        <w:rPr>
          <w:rFonts w:ascii="Calibri" w:hAnsi="Calibri" w:cs="Calibri"/>
          <w:sz w:val="24"/>
          <w:szCs w:val="24"/>
        </w:rPr>
        <w:t>Porto Velho, 16 de setembro de 2025.</w:t>
      </w:r>
    </w:p>
    <w:p w14:paraId="1D3379F8" w14:textId="4B5F7FB6" w:rsidR="00D44C31" w:rsidRPr="00D44C31" w:rsidRDefault="00D44C31" w:rsidP="00D44C31">
      <w:pPr>
        <w:jc w:val="center"/>
        <w:rPr>
          <w:rFonts w:ascii="Calibri" w:hAnsi="Calibri" w:cs="Calibri"/>
          <w:sz w:val="24"/>
          <w:szCs w:val="24"/>
        </w:rPr>
      </w:pPr>
    </w:p>
    <w:p w14:paraId="5ADAE141"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FRANCO MAEGAKI ONO</w:t>
      </w:r>
    </w:p>
    <w:p w14:paraId="1A00635E" w14:textId="77777777" w:rsidR="00D44C31" w:rsidRPr="00D44C31" w:rsidRDefault="00D44C31" w:rsidP="00D44C31">
      <w:pPr>
        <w:jc w:val="center"/>
        <w:rPr>
          <w:rFonts w:ascii="Calibri" w:hAnsi="Calibri" w:cs="Calibri"/>
          <w:sz w:val="24"/>
          <w:szCs w:val="24"/>
        </w:rPr>
      </w:pPr>
      <w:r w:rsidRPr="00D44C31">
        <w:rPr>
          <w:rFonts w:ascii="Calibri" w:hAnsi="Calibri" w:cs="Calibri"/>
          <w:sz w:val="24"/>
          <w:szCs w:val="24"/>
        </w:rPr>
        <w:t>Secretário-Adjunto de Finanças do Estado de Rondônia</w:t>
      </w:r>
    </w:p>
    <w:p w14:paraId="1BF0BE14" w14:textId="29B3535E" w:rsidR="00D44C31" w:rsidRPr="00D44C31" w:rsidRDefault="00D44C31" w:rsidP="00D44C31">
      <w:pPr>
        <w:jc w:val="center"/>
        <w:rPr>
          <w:rFonts w:ascii="Calibri" w:hAnsi="Calibri" w:cs="Calibri"/>
          <w:sz w:val="24"/>
          <w:szCs w:val="24"/>
        </w:rPr>
      </w:pPr>
    </w:p>
    <w:p w14:paraId="7DB8D031" w14:textId="77777777" w:rsidR="00D44C31" w:rsidRPr="00D44C31" w:rsidRDefault="00D44C31" w:rsidP="00D44C31">
      <w:pPr>
        <w:jc w:val="center"/>
        <w:rPr>
          <w:rFonts w:ascii="Calibri" w:hAnsi="Calibri" w:cs="Calibri"/>
          <w:sz w:val="24"/>
          <w:szCs w:val="24"/>
        </w:rPr>
      </w:pPr>
      <w:r w:rsidRPr="00D44C31">
        <w:rPr>
          <w:rFonts w:ascii="Calibri" w:hAnsi="Calibri" w:cs="Calibri"/>
          <w:b/>
          <w:bCs/>
          <w:sz w:val="24"/>
          <w:szCs w:val="24"/>
        </w:rPr>
        <w:t>THIAGO ALENCAR ALVES PEREIRA</w:t>
      </w:r>
    </w:p>
    <w:p w14:paraId="5C25994A" w14:textId="1087F444" w:rsidR="00D44C31" w:rsidRPr="00D44C31" w:rsidRDefault="00D44C31" w:rsidP="004C5081">
      <w:pPr>
        <w:jc w:val="center"/>
        <w:rPr>
          <w:rFonts w:ascii="Calibri" w:hAnsi="Calibri" w:cs="Calibri"/>
          <w:sz w:val="24"/>
          <w:szCs w:val="24"/>
        </w:rPr>
      </w:pPr>
      <w:r w:rsidRPr="00D44C31">
        <w:rPr>
          <w:rFonts w:ascii="Calibri" w:hAnsi="Calibri" w:cs="Calibri"/>
          <w:sz w:val="24"/>
          <w:szCs w:val="24"/>
        </w:rPr>
        <w:t>Procurador-Geral do Estado</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D44C31" w:rsidRPr="00D44C31" w14:paraId="66255033" w14:textId="77777777">
        <w:trPr>
          <w:tblCellSpacing w:w="15" w:type="dxa"/>
        </w:trPr>
        <w:tc>
          <w:tcPr>
            <w:tcW w:w="0" w:type="auto"/>
            <w:vAlign w:val="center"/>
            <w:hideMark/>
          </w:tcPr>
          <w:p w14:paraId="4C1B57E8" w14:textId="77777777" w:rsidR="00D44C31" w:rsidRPr="00D44C31" w:rsidRDefault="00D44C31" w:rsidP="00D44C31">
            <w:pPr>
              <w:jc w:val="both"/>
              <w:rPr>
                <w:rFonts w:ascii="Calibri" w:hAnsi="Calibri" w:cs="Calibri"/>
                <w:sz w:val="20"/>
                <w:szCs w:val="20"/>
              </w:rPr>
            </w:pPr>
          </w:p>
        </w:tc>
        <w:tc>
          <w:tcPr>
            <w:tcW w:w="0" w:type="auto"/>
            <w:vAlign w:val="center"/>
            <w:hideMark/>
          </w:tcPr>
          <w:p w14:paraId="500836A6" w14:textId="77777777" w:rsidR="00D44C31" w:rsidRPr="00D44C31" w:rsidRDefault="00D44C31" w:rsidP="00D44C31">
            <w:pPr>
              <w:jc w:val="both"/>
              <w:rPr>
                <w:rFonts w:ascii="Calibri" w:hAnsi="Calibri" w:cs="Calibri"/>
                <w:sz w:val="20"/>
                <w:szCs w:val="20"/>
              </w:rPr>
            </w:pPr>
          </w:p>
        </w:tc>
      </w:tr>
    </w:tbl>
    <w:p w14:paraId="4082A2D2" w14:textId="77777777" w:rsidR="00D44C31" w:rsidRPr="00D44C31" w:rsidRDefault="00D44C31" w:rsidP="00D44C31">
      <w:pPr>
        <w:jc w:val="both"/>
        <w:rPr>
          <w:rFonts w:ascii="Calibri" w:hAnsi="Calibri" w:cs="Calibri"/>
          <w:vanish/>
          <w:sz w:val="20"/>
          <w:szCs w:val="20"/>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D44C31" w:rsidRPr="00D44C31" w14:paraId="5BCEFAF1" w14:textId="77777777">
        <w:trPr>
          <w:tblCellSpacing w:w="15" w:type="dxa"/>
        </w:trPr>
        <w:tc>
          <w:tcPr>
            <w:tcW w:w="0" w:type="auto"/>
            <w:vAlign w:val="center"/>
            <w:hideMark/>
          </w:tcPr>
          <w:p w14:paraId="6EAD3A83" w14:textId="77777777" w:rsidR="00D44C31" w:rsidRPr="00D44C31" w:rsidRDefault="00D44C31" w:rsidP="00D44C31">
            <w:pPr>
              <w:jc w:val="both"/>
              <w:rPr>
                <w:rFonts w:ascii="Calibri" w:hAnsi="Calibri" w:cs="Calibri"/>
                <w:sz w:val="20"/>
                <w:szCs w:val="20"/>
              </w:rPr>
            </w:pPr>
          </w:p>
        </w:tc>
        <w:tc>
          <w:tcPr>
            <w:tcW w:w="0" w:type="auto"/>
            <w:vAlign w:val="center"/>
            <w:hideMark/>
          </w:tcPr>
          <w:p w14:paraId="06AAA6D5" w14:textId="77777777" w:rsidR="00D44C31" w:rsidRPr="00D44C31" w:rsidRDefault="00D44C31" w:rsidP="00D44C31">
            <w:pPr>
              <w:jc w:val="both"/>
              <w:rPr>
                <w:rFonts w:ascii="Calibri" w:hAnsi="Calibri" w:cs="Calibri"/>
                <w:sz w:val="20"/>
                <w:szCs w:val="20"/>
              </w:rPr>
            </w:pPr>
          </w:p>
        </w:tc>
      </w:tr>
    </w:tbl>
    <w:p w14:paraId="2E7DC6EB" w14:textId="77777777" w:rsidR="00D44C31" w:rsidRPr="00D44C31" w:rsidRDefault="00D44C31" w:rsidP="00D44C31">
      <w:pPr>
        <w:jc w:val="both"/>
        <w:rPr>
          <w:rFonts w:ascii="Calibri" w:hAnsi="Calibri" w:cs="Calibri"/>
          <w:vanish/>
          <w:sz w:val="20"/>
          <w:szCs w:val="20"/>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D44C31" w:rsidRPr="00D44C31" w14:paraId="448DF3DD" w14:textId="77777777">
        <w:trPr>
          <w:tblCellSpacing w:w="15" w:type="dxa"/>
        </w:trPr>
        <w:tc>
          <w:tcPr>
            <w:tcW w:w="0" w:type="auto"/>
            <w:vAlign w:val="center"/>
            <w:hideMark/>
          </w:tcPr>
          <w:p w14:paraId="2A44F745" w14:textId="77777777" w:rsidR="00D44C31" w:rsidRPr="00D44C31" w:rsidRDefault="00D44C31" w:rsidP="00D44C31">
            <w:pPr>
              <w:jc w:val="both"/>
              <w:rPr>
                <w:rFonts w:ascii="Calibri" w:hAnsi="Calibri" w:cs="Calibri"/>
                <w:sz w:val="20"/>
                <w:szCs w:val="20"/>
              </w:rPr>
            </w:pPr>
          </w:p>
        </w:tc>
        <w:tc>
          <w:tcPr>
            <w:tcW w:w="0" w:type="auto"/>
            <w:vAlign w:val="center"/>
            <w:hideMark/>
          </w:tcPr>
          <w:p w14:paraId="32CEDA00" w14:textId="77777777" w:rsidR="00D44C31" w:rsidRPr="00D44C31" w:rsidRDefault="00D44C31" w:rsidP="00D44C31">
            <w:pPr>
              <w:jc w:val="both"/>
              <w:rPr>
                <w:rFonts w:ascii="Calibri" w:hAnsi="Calibri" w:cs="Calibri"/>
                <w:sz w:val="20"/>
                <w:szCs w:val="20"/>
              </w:rPr>
            </w:pPr>
          </w:p>
        </w:tc>
      </w:tr>
    </w:tbl>
    <w:p w14:paraId="14D1322A" w14:textId="77777777" w:rsidR="00D44C31" w:rsidRPr="00D44C31" w:rsidRDefault="00D44C31" w:rsidP="00D44C31">
      <w:pPr>
        <w:jc w:val="both"/>
        <w:rPr>
          <w:rFonts w:ascii="Calibri" w:hAnsi="Calibri" w:cs="Calibri"/>
          <w:vanish/>
          <w:sz w:val="20"/>
          <w:szCs w:val="20"/>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D44C31" w:rsidRPr="00D44C31" w14:paraId="04624427" w14:textId="77777777">
        <w:trPr>
          <w:tblCellSpacing w:w="15" w:type="dxa"/>
        </w:trPr>
        <w:tc>
          <w:tcPr>
            <w:tcW w:w="0" w:type="auto"/>
            <w:vAlign w:val="center"/>
            <w:hideMark/>
          </w:tcPr>
          <w:p w14:paraId="387E36AC" w14:textId="77777777" w:rsidR="00D44C31" w:rsidRPr="00D44C31" w:rsidRDefault="00D44C31" w:rsidP="00D44C31">
            <w:pPr>
              <w:jc w:val="both"/>
              <w:rPr>
                <w:rFonts w:ascii="Calibri" w:hAnsi="Calibri" w:cs="Calibri"/>
                <w:sz w:val="20"/>
                <w:szCs w:val="20"/>
              </w:rPr>
            </w:pPr>
          </w:p>
        </w:tc>
        <w:tc>
          <w:tcPr>
            <w:tcW w:w="0" w:type="auto"/>
            <w:vAlign w:val="center"/>
            <w:hideMark/>
          </w:tcPr>
          <w:p w14:paraId="5D042DEA" w14:textId="77777777" w:rsidR="00D44C31" w:rsidRPr="00D44C31" w:rsidRDefault="00D44C31" w:rsidP="00D44C31">
            <w:pPr>
              <w:jc w:val="both"/>
              <w:rPr>
                <w:rFonts w:ascii="Calibri" w:hAnsi="Calibri" w:cs="Calibri"/>
                <w:sz w:val="20"/>
                <w:szCs w:val="20"/>
              </w:rPr>
            </w:pPr>
          </w:p>
        </w:tc>
      </w:tr>
    </w:tbl>
    <w:p w14:paraId="576DB192" w14:textId="77777777" w:rsidR="00205E97" w:rsidRPr="001A4196" w:rsidRDefault="001A4196" w:rsidP="00205E97">
      <w:pPr>
        <w:jc w:val="both"/>
        <w:rPr>
          <w:rFonts w:ascii="Calibri" w:hAnsi="Calibri" w:cs="Calibri"/>
          <w:sz w:val="20"/>
          <w:szCs w:val="20"/>
        </w:rPr>
      </w:pPr>
      <w:r w:rsidRPr="001A4196">
        <w:rPr>
          <w:rFonts w:ascii="Calibri" w:hAnsi="Calibri" w:cs="Calibri"/>
          <w:sz w:val="20"/>
          <w:szCs w:val="20"/>
        </w:rPr>
        <w:pict w14:anchorId="7CDC2265">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205E97" w:rsidRPr="001A4196" w14:paraId="6D588A00" w14:textId="77777777" w:rsidTr="00205E97">
        <w:trPr>
          <w:tblCellSpacing w:w="15" w:type="dxa"/>
        </w:trPr>
        <w:tc>
          <w:tcPr>
            <w:tcW w:w="0" w:type="auto"/>
            <w:vAlign w:val="center"/>
            <w:hideMark/>
          </w:tcPr>
          <w:p w14:paraId="26420B1A" w14:textId="6BABCEA2" w:rsidR="00205E97" w:rsidRPr="001A4196" w:rsidRDefault="00205E97" w:rsidP="00205E97">
            <w:pPr>
              <w:jc w:val="both"/>
              <w:rPr>
                <w:rFonts w:ascii="Calibri" w:hAnsi="Calibri" w:cs="Calibri"/>
                <w:sz w:val="20"/>
                <w:szCs w:val="20"/>
              </w:rPr>
            </w:pPr>
            <w:r w:rsidRPr="001A4196">
              <w:rPr>
                <w:rFonts w:ascii="Calibri" w:hAnsi="Calibri" w:cs="Calibri"/>
                <w:noProof/>
                <w:sz w:val="20"/>
                <w:szCs w:val="20"/>
              </w:rPr>
              <w:drawing>
                <wp:inline distT="0" distB="0" distL="0" distR="0" wp14:anchorId="2420752E" wp14:editId="4C080B71">
                  <wp:extent cx="847725" cy="571500"/>
                  <wp:effectExtent l="0" t="0" r="9525" b="0"/>
                  <wp:docPr id="1959627536" name="Imagem 8"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4EB0BD3C" w14:textId="48263C48" w:rsidR="00205E97" w:rsidRPr="001A4196" w:rsidRDefault="00205E97" w:rsidP="00205E97">
            <w:pPr>
              <w:jc w:val="both"/>
              <w:rPr>
                <w:rFonts w:ascii="Calibri" w:hAnsi="Calibri" w:cs="Calibri"/>
                <w:sz w:val="20"/>
                <w:szCs w:val="20"/>
              </w:rPr>
            </w:pPr>
            <w:r w:rsidRPr="001A4196">
              <w:rPr>
                <w:rFonts w:ascii="Calibri" w:hAnsi="Calibri" w:cs="Calibri"/>
                <w:sz w:val="20"/>
                <w:szCs w:val="20"/>
              </w:rPr>
              <w:t>Documento assinado eletronicamente por </w:t>
            </w:r>
            <w:r w:rsidR="00F91D8E" w:rsidRPr="001A4196">
              <w:rPr>
                <w:rFonts w:ascii="Calibri" w:hAnsi="Calibri" w:cs="Calibri"/>
                <w:b/>
                <w:bCs/>
                <w:sz w:val="20"/>
                <w:szCs w:val="20"/>
              </w:rPr>
              <w:t xml:space="preserve">Franco </w:t>
            </w:r>
            <w:proofErr w:type="spellStart"/>
            <w:r w:rsidR="00F91D8E" w:rsidRPr="001A4196">
              <w:rPr>
                <w:rFonts w:ascii="Calibri" w:hAnsi="Calibri" w:cs="Calibri"/>
                <w:b/>
                <w:bCs/>
                <w:sz w:val="20"/>
                <w:szCs w:val="20"/>
              </w:rPr>
              <w:t>Maegaki</w:t>
            </w:r>
            <w:proofErr w:type="spellEnd"/>
            <w:r w:rsidR="00F91D8E" w:rsidRPr="001A4196">
              <w:rPr>
                <w:rFonts w:ascii="Calibri" w:hAnsi="Calibri" w:cs="Calibri"/>
                <w:b/>
                <w:bCs/>
                <w:sz w:val="20"/>
                <w:szCs w:val="20"/>
              </w:rPr>
              <w:t xml:space="preserve"> Ono, Secretário(a) Adjunto(a)</w:t>
            </w:r>
            <w:r w:rsidR="00F91D8E" w:rsidRPr="001A4196">
              <w:rPr>
                <w:rFonts w:ascii="Calibri" w:hAnsi="Calibri" w:cs="Calibri"/>
                <w:sz w:val="20"/>
                <w:szCs w:val="20"/>
              </w:rPr>
              <w:t xml:space="preserve">, </w:t>
            </w:r>
            <w:r w:rsidRPr="001A4196">
              <w:rPr>
                <w:rFonts w:ascii="Calibri" w:hAnsi="Calibri" w:cs="Calibri"/>
                <w:sz w:val="20"/>
                <w:szCs w:val="20"/>
              </w:rPr>
              <w:t xml:space="preserve">em </w:t>
            </w:r>
            <w:r w:rsidR="00F91D8E" w:rsidRPr="001A4196">
              <w:rPr>
                <w:rFonts w:ascii="Calibri" w:hAnsi="Calibri" w:cs="Calibri"/>
                <w:sz w:val="20"/>
                <w:szCs w:val="20"/>
              </w:rPr>
              <w:t>16/09</w:t>
            </w:r>
            <w:r w:rsidRPr="001A4196">
              <w:rPr>
                <w:rFonts w:ascii="Calibri" w:hAnsi="Calibri" w:cs="Calibri"/>
                <w:sz w:val="20"/>
                <w:szCs w:val="20"/>
              </w:rPr>
              <w:t xml:space="preserve">/2025, às </w:t>
            </w:r>
            <w:r w:rsidR="00F91D8E" w:rsidRPr="001A4196">
              <w:rPr>
                <w:rFonts w:ascii="Calibri" w:hAnsi="Calibri" w:cs="Calibri"/>
                <w:sz w:val="20"/>
                <w:szCs w:val="20"/>
              </w:rPr>
              <w:t>18:50</w:t>
            </w:r>
            <w:r w:rsidRPr="001A4196">
              <w:rPr>
                <w:rFonts w:ascii="Calibri" w:hAnsi="Calibri" w:cs="Calibri"/>
                <w:sz w:val="20"/>
                <w:szCs w:val="20"/>
              </w:rPr>
              <w:t>, conforme horário oficial de Brasília, com fundamento no artigo 18 caput e seus §§ 1º e 2º, do </w:t>
            </w:r>
            <w:hyperlink r:id="rId6" w:tgtFrame="_blank" w:tooltip="Acesse o Decreto" w:history="1">
              <w:r w:rsidRPr="001A4196">
                <w:rPr>
                  <w:rStyle w:val="Hyperlink"/>
                  <w:rFonts w:ascii="Calibri" w:hAnsi="Calibri" w:cs="Calibri"/>
                  <w:sz w:val="20"/>
                  <w:szCs w:val="20"/>
                </w:rPr>
                <w:t>Decreto nº 21.794, de 5 Abril de 2017.</w:t>
              </w:r>
            </w:hyperlink>
          </w:p>
        </w:tc>
      </w:tr>
    </w:tbl>
    <w:p w14:paraId="78B30EB8" w14:textId="77777777" w:rsidR="00205E97" w:rsidRPr="001A4196" w:rsidRDefault="001A4196" w:rsidP="00205E97">
      <w:pPr>
        <w:jc w:val="both"/>
        <w:rPr>
          <w:rFonts w:ascii="Calibri" w:hAnsi="Calibri" w:cs="Calibri"/>
          <w:sz w:val="20"/>
          <w:szCs w:val="20"/>
        </w:rPr>
      </w:pPr>
      <w:r w:rsidRPr="001A4196">
        <w:rPr>
          <w:rFonts w:ascii="Calibri" w:hAnsi="Calibri" w:cs="Calibri"/>
          <w:sz w:val="20"/>
          <w:szCs w:val="20"/>
        </w:rPr>
        <w:pict w14:anchorId="0C3C3344">
          <v:rect id="_x0000_i1026"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205E97" w:rsidRPr="001A4196" w14:paraId="5A095BA8" w14:textId="77777777" w:rsidTr="00205E97">
        <w:trPr>
          <w:tblCellSpacing w:w="15" w:type="dxa"/>
        </w:trPr>
        <w:tc>
          <w:tcPr>
            <w:tcW w:w="0" w:type="auto"/>
            <w:vAlign w:val="center"/>
            <w:hideMark/>
          </w:tcPr>
          <w:p w14:paraId="08489844" w14:textId="51E404D1" w:rsidR="00205E97" w:rsidRPr="001A4196" w:rsidRDefault="00205E97" w:rsidP="00205E97">
            <w:pPr>
              <w:jc w:val="both"/>
              <w:rPr>
                <w:rFonts w:ascii="Calibri" w:hAnsi="Calibri" w:cs="Calibri"/>
                <w:sz w:val="20"/>
                <w:szCs w:val="20"/>
              </w:rPr>
            </w:pPr>
            <w:r w:rsidRPr="001A4196">
              <w:rPr>
                <w:rFonts w:ascii="Calibri" w:hAnsi="Calibri" w:cs="Calibri"/>
                <w:noProof/>
                <w:sz w:val="20"/>
                <w:szCs w:val="20"/>
              </w:rPr>
              <w:lastRenderedPageBreak/>
              <w:drawing>
                <wp:inline distT="0" distB="0" distL="0" distR="0" wp14:anchorId="7C876B1A" wp14:editId="386D3DAE">
                  <wp:extent cx="847725" cy="571500"/>
                  <wp:effectExtent l="0" t="0" r="9525" b="0"/>
                  <wp:docPr id="989319092" name="Imagem 7"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64062013" w14:textId="2350EBDB" w:rsidR="00205E97" w:rsidRPr="001A4196" w:rsidRDefault="00205E97" w:rsidP="00205E97">
            <w:pPr>
              <w:jc w:val="both"/>
              <w:rPr>
                <w:rFonts w:ascii="Calibri" w:hAnsi="Calibri" w:cs="Calibri"/>
                <w:sz w:val="20"/>
                <w:szCs w:val="20"/>
              </w:rPr>
            </w:pPr>
            <w:r w:rsidRPr="001A4196">
              <w:rPr>
                <w:rFonts w:ascii="Calibri" w:hAnsi="Calibri" w:cs="Calibri"/>
                <w:sz w:val="20"/>
                <w:szCs w:val="20"/>
              </w:rPr>
              <w:t>Documento assinado eletronicamente por </w:t>
            </w:r>
            <w:r w:rsidR="004C5081" w:rsidRPr="001A4196">
              <w:rPr>
                <w:rFonts w:ascii="Calibri" w:hAnsi="Calibri" w:cs="Calibri"/>
                <w:b/>
                <w:bCs/>
                <w:sz w:val="20"/>
                <w:szCs w:val="20"/>
              </w:rPr>
              <w:t>ANTÔNIO CARLOS DO NASCIMENTO, Coordenador(a)</w:t>
            </w:r>
            <w:r w:rsidRPr="001A4196">
              <w:rPr>
                <w:rFonts w:ascii="Calibri" w:hAnsi="Calibri" w:cs="Calibri"/>
                <w:sz w:val="20"/>
                <w:szCs w:val="20"/>
              </w:rPr>
              <w:t xml:space="preserve">, em </w:t>
            </w:r>
            <w:r w:rsidR="004C5081" w:rsidRPr="001A4196">
              <w:rPr>
                <w:rFonts w:ascii="Calibri" w:hAnsi="Calibri" w:cs="Calibri"/>
                <w:sz w:val="20"/>
                <w:szCs w:val="20"/>
              </w:rPr>
              <w:t>17/09</w:t>
            </w:r>
            <w:r w:rsidRPr="001A4196">
              <w:rPr>
                <w:rFonts w:ascii="Calibri" w:hAnsi="Calibri" w:cs="Calibri"/>
                <w:sz w:val="20"/>
                <w:szCs w:val="20"/>
              </w:rPr>
              <w:t>/2025, às 1</w:t>
            </w:r>
            <w:r w:rsidR="004C5081" w:rsidRPr="001A4196">
              <w:rPr>
                <w:rFonts w:ascii="Calibri" w:hAnsi="Calibri" w:cs="Calibri"/>
                <w:sz w:val="20"/>
                <w:szCs w:val="20"/>
              </w:rPr>
              <w:t>3</w:t>
            </w:r>
            <w:r w:rsidRPr="001A4196">
              <w:rPr>
                <w:rFonts w:ascii="Calibri" w:hAnsi="Calibri" w:cs="Calibri"/>
                <w:sz w:val="20"/>
                <w:szCs w:val="20"/>
              </w:rPr>
              <w:t>:</w:t>
            </w:r>
            <w:r w:rsidR="004C5081" w:rsidRPr="001A4196">
              <w:rPr>
                <w:rFonts w:ascii="Calibri" w:hAnsi="Calibri" w:cs="Calibri"/>
                <w:sz w:val="20"/>
                <w:szCs w:val="20"/>
              </w:rPr>
              <w:t>52</w:t>
            </w:r>
            <w:r w:rsidRPr="001A4196">
              <w:rPr>
                <w:rFonts w:ascii="Calibri" w:hAnsi="Calibri" w:cs="Calibri"/>
                <w:sz w:val="20"/>
                <w:szCs w:val="20"/>
              </w:rPr>
              <w:t>, conforme horário oficial de Brasília, com fundamento no artigo 18 caput e seus §§ 1º e 2º, do </w:t>
            </w:r>
            <w:hyperlink r:id="rId7" w:tgtFrame="_blank" w:tooltip="Acesse o Decreto" w:history="1">
              <w:r w:rsidRPr="001A4196">
                <w:rPr>
                  <w:rStyle w:val="Hyperlink"/>
                  <w:rFonts w:ascii="Calibri" w:hAnsi="Calibri" w:cs="Calibri"/>
                  <w:sz w:val="20"/>
                  <w:szCs w:val="20"/>
                </w:rPr>
                <w:t>Decreto nº 21.794, de 5 Abril de 2017.</w:t>
              </w:r>
            </w:hyperlink>
          </w:p>
        </w:tc>
      </w:tr>
    </w:tbl>
    <w:p w14:paraId="340E254E" w14:textId="77777777" w:rsidR="00205E97" w:rsidRPr="001A4196" w:rsidRDefault="001A4196" w:rsidP="00205E97">
      <w:pPr>
        <w:jc w:val="both"/>
        <w:rPr>
          <w:rFonts w:ascii="Calibri" w:hAnsi="Calibri" w:cs="Calibri"/>
          <w:sz w:val="20"/>
          <w:szCs w:val="20"/>
        </w:rPr>
      </w:pPr>
      <w:r w:rsidRPr="001A4196">
        <w:rPr>
          <w:rFonts w:ascii="Calibri" w:hAnsi="Calibri" w:cs="Calibri"/>
          <w:sz w:val="20"/>
          <w:szCs w:val="20"/>
        </w:rPr>
        <w:pict w14:anchorId="7224B582">
          <v:rect id="_x0000_i102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205E97" w:rsidRPr="001A4196" w14:paraId="7DBF6AB9" w14:textId="77777777" w:rsidTr="00205E97">
        <w:trPr>
          <w:tblCellSpacing w:w="15" w:type="dxa"/>
        </w:trPr>
        <w:tc>
          <w:tcPr>
            <w:tcW w:w="0" w:type="auto"/>
            <w:vAlign w:val="center"/>
            <w:hideMark/>
          </w:tcPr>
          <w:p w14:paraId="1DBA030B" w14:textId="35BD5E68" w:rsidR="00205E97" w:rsidRPr="001A4196" w:rsidRDefault="00205E97" w:rsidP="00205E97">
            <w:pPr>
              <w:jc w:val="both"/>
              <w:rPr>
                <w:rFonts w:ascii="Calibri" w:hAnsi="Calibri" w:cs="Calibri"/>
                <w:sz w:val="20"/>
                <w:szCs w:val="20"/>
              </w:rPr>
            </w:pPr>
            <w:r w:rsidRPr="001A4196">
              <w:rPr>
                <w:rFonts w:ascii="Calibri" w:hAnsi="Calibri" w:cs="Calibri"/>
                <w:noProof/>
                <w:sz w:val="20"/>
                <w:szCs w:val="20"/>
              </w:rPr>
              <w:drawing>
                <wp:inline distT="0" distB="0" distL="0" distR="0" wp14:anchorId="0554402E" wp14:editId="0D093831">
                  <wp:extent cx="847725" cy="571500"/>
                  <wp:effectExtent l="0" t="0" r="9525" b="0"/>
                  <wp:docPr id="1386502897" name="Imagem 6"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04139172" w14:textId="650206F5" w:rsidR="00205E97" w:rsidRPr="001A4196" w:rsidRDefault="00205E97" w:rsidP="00205E97">
            <w:pPr>
              <w:jc w:val="both"/>
              <w:rPr>
                <w:rFonts w:ascii="Calibri" w:hAnsi="Calibri" w:cs="Calibri"/>
                <w:sz w:val="20"/>
                <w:szCs w:val="20"/>
              </w:rPr>
            </w:pPr>
            <w:r w:rsidRPr="001A4196">
              <w:rPr>
                <w:rFonts w:ascii="Calibri" w:hAnsi="Calibri" w:cs="Calibri"/>
                <w:sz w:val="20"/>
                <w:szCs w:val="20"/>
              </w:rPr>
              <w:t>Documento assinado eletronicamente</w:t>
            </w:r>
            <w:r w:rsidR="004C5081" w:rsidRPr="001A4196">
              <w:rPr>
                <w:rFonts w:ascii="Calibri" w:hAnsi="Calibri" w:cs="Calibri"/>
                <w:sz w:val="20"/>
                <w:szCs w:val="20"/>
              </w:rPr>
              <w:t xml:space="preserve"> por </w:t>
            </w:r>
            <w:r w:rsidR="004C5081" w:rsidRPr="001A4196">
              <w:rPr>
                <w:rFonts w:ascii="Calibri" w:hAnsi="Calibri" w:cs="Calibri"/>
                <w:b/>
                <w:bCs/>
                <w:sz w:val="20"/>
                <w:szCs w:val="20"/>
              </w:rPr>
              <w:t>Thiago Alencar Alves Pereira, Procurador(a) Geral do Estado</w:t>
            </w:r>
            <w:r w:rsidRPr="001A4196">
              <w:rPr>
                <w:rFonts w:ascii="Calibri" w:hAnsi="Calibri" w:cs="Calibri"/>
                <w:sz w:val="20"/>
                <w:szCs w:val="20"/>
              </w:rPr>
              <w:t xml:space="preserve">, em </w:t>
            </w:r>
            <w:r w:rsidR="004C5081" w:rsidRPr="001A4196">
              <w:rPr>
                <w:rFonts w:ascii="Calibri" w:hAnsi="Calibri" w:cs="Calibri"/>
                <w:sz w:val="20"/>
                <w:szCs w:val="20"/>
              </w:rPr>
              <w:t>1</w:t>
            </w:r>
            <w:r w:rsidRPr="001A4196">
              <w:rPr>
                <w:rFonts w:ascii="Calibri" w:hAnsi="Calibri" w:cs="Calibri"/>
                <w:sz w:val="20"/>
                <w:szCs w:val="20"/>
              </w:rPr>
              <w:t>7/0</w:t>
            </w:r>
            <w:r w:rsidR="004C5081" w:rsidRPr="001A4196">
              <w:rPr>
                <w:rFonts w:ascii="Calibri" w:hAnsi="Calibri" w:cs="Calibri"/>
                <w:sz w:val="20"/>
                <w:szCs w:val="20"/>
              </w:rPr>
              <w:t>9</w:t>
            </w:r>
            <w:r w:rsidRPr="001A4196">
              <w:rPr>
                <w:rFonts w:ascii="Calibri" w:hAnsi="Calibri" w:cs="Calibri"/>
                <w:sz w:val="20"/>
                <w:szCs w:val="20"/>
              </w:rPr>
              <w:t xml:space="preserve">/2025, às </w:t>
            </w:r>
            <w:r w:rsidR="004C5081" w:rsidRPr="001A4196">
              <w:rPr>
                <w:rFonts w:ascii="Calibri" w:hAnsi="Calibri" w:cs="Calibri"/>
                <w:sz w:val="20"/>
                <w:szCs w:val="20"/>
              </w:rPr>
              <w:t>15:33</w:t>
            </w:r>
            <w:r w:rsidRPr="001A4196">
              <w:rPr>
                <w:rFonts w:ascii="Calibri" w:hAnsi="Calibri" w:cs="Calibri"/>
                <w:sz w:val="20"/>
                <w:szCs w:val="20"/>
              </w:rPr>
              <w:t>, conforme horário oficial de Brasília, com fundamento no artigo 18 caput e seus §§ 1º e 2º, do </w:t>
            </w:r>
            <w:hyperlink r:id="rId8" w:tgtFrame="_blank" w:tooltip="Acesse o Decreto" w:history="1">
              <w:r w:rsidRPr="001A4196">
                <w:rPr>
                  <w:rStyle w:val="Hyperlink"/>
                  <w:rFonts w:ascii="Calibri" w:hAnsi="Calibri" w:cs="Calibri"/>
                  <w:sz w:val="20"/>
                  <w:szCs w:val="20"/>
                </w:rPr>
                <w:t>Decreto nº 21.794, de 5 Abril de 2017.</w:t>
              </w:r>
            </w:hyperlink>
          </w:p>
        </w:tc>
      </w:tr>
    </w:tbl>
    <w:p w14:paraId="336E30C5" w14:textId="77777777" w:rsidR="00205E97" w:rsidRPr="001A4196" w:rsidRDefault="001A4196" w:rsidP="00205E97">
      <w:pPr>
        <w:jc w:val="both"/>
        <w:rPr>
          <w:rFonts w:ascii="Calibri" w:hAnsi="Calibri" w:cs="Calibri"/>
          <w:sz w:val="20"/>
          <w:szCs w:val="20"/>
        </w:rPr>
      </w:pPr>
      <w:r w:rsidRPr="001A4196">
        <w:rPr>
          <w:rFonts w:ascii="Calibri" w:hAnsi="Calibri" w:cs="Calibri"/>
          <w:sz w:val="20"/>
          <w:szCs w:val="20"/>
        </w:rPr>
        <w:pict w14:anchorId="0C2ED33F">
          <v:rect id="_x0000_i1028"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205E97" w:rsidRPr="001A4196" w14:paraId="733B59BF" w14:textId="77777777" w:rsidTr="00205E97">
        <w:trPr>
          <w:tblCellSpacing w:w="15" w:type="dxa"/>
        </w:trPr>
        <w:tc>
          <w:tcPr>
            <w:tcW w:w="0" w:type="auto"/>
            <w:vAlign w:val="center"/>
            <w:hideMark/>
          </w:tcPr>
          <w:p w14:paraId="2551CF42" w14:textId="5293E25C" w:rsidR="00205E97" w:rsidRPr="001A4196" w:rsidRDefault="004C5081" w:rsidP="00205E97">
            <w:pPr>
              <w:jc w:val="both"/>
              <w:rPr>
                <w:rFonts w:ascii="Calibri" w:hAnsi="Calibri" w:cs="Calibri"/>
                <w:sz w:val="20"/>
                <w:szCs w:val="20"/>
              </w:rPr>
            </w:pPr>
            <w:r w:rsidRPr="001A4196">
              <w:rPr>
                <w:rFonts w:ascii="Calibri" w:hAnsi="Calibri" w:cs="Calibri"/>
                <w:noProof/>
                <w:sz w:val="20"/>
                <w:szCs w:val="20"/>
              </w:rPr>
              <w:drawing>
                <wp:inline distT="0" distB="0" distL="0" distR="0" wp14:anchorId="722980F5" wp14:editId="3362062E">
                  <wp:extent cx="819150" cy="819150"/>
                  <wp:effectExtent l="0" t="0" r="0" b="0"/>
                  <wp:docPr id="1305165181" name="Imagem 3"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QRCode Assinatur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4E88DAB6" w14:textId="49344F53" w:rsidR="00205E97" w:rsidRPr="001A4196" w:rsidRDefault="00205E97" w:rsidP="00205E97">
            <w:pPr>
              <w:jc w:val="both"/>
              <w:rPr>
                <w:rFonts w:ascii="Calibri" w:hAnsi="Calibri" w:cs="Calibri"/>
                <w:sz w:val="20"/>
                <w:szCs w:val="20"/>
              </w:rPr>
            </w:pPr>
            <w:r w:rsidRPr="001A4196">
              <w:rPr>
                <w:rFonts w:ascii="Calibri" w:hAnsi="Calibri" w:cs="Calibri"/>
                <w:sz w:val="20"/>
                <w:szCs w:val="20"/>
              </w:rPr>
              <w:t>A autenticidade deste documento pode ser conferida no site </w:t>
            </w:r>
            <w:hyperlink r:id="rId10" w:tgtFrame="_blank" w:tooltip="Página de Autenticidade de Documentos" w:history="1">
              <w:r w:rsidRPr="001A4196">
                <w:rPr>
                  <w:rStyle w:val="Hyperlink"/>
                  <w:rFonts w:ascii="Calibri" w:hAnsi="Calibri" w:cs="Calibri"/>
                  <w:sz w:val="20"/>
                  <w:szCs w:val="20"/>
                </w:rPr>
                <w:t>portal do SEI</w:t>
              </w:r>
            </w:hyperlink>
            <w:r w:rsidRPr="001A4196">
              <w:rPr>
                <w:rFonts w:ascii="Calibri" w:hAnsi="Calibri" w:cs="Calibri"/>
                <w:sz w:val="20"/>
                <w:szCs w:val="20"/>
              </w:rPr>
              <w:t>, informando o código verificador </w:t>
            </w:r>
            <w:r w:rsidRPr="001A4196">
              <w:rPr>
                <w:rFonts w:ascii="Calibri" w:hAnsi="Calibri" w:cs="Calibri"/>
                <w:b/>
                <w:bCs/>
                <w:sz w:val="20"/>
                <w:szCs w:val="20"/>
              </w:rPr>
              <w:t>00</w:t>
            </w:r>
            <w:r w:rsidR="004C5081" w:rsidRPr="001A4196">
              <w:rPr>
                <w:rFonts w:ascii="Calibri" w:hAnsi="Calibri" w:cs="Calibri"/>
                <w:b/>
                <w:bCs/>
                <w:sz w:val="20"/>
                <w:szCs w:val="20"/>
              </w:rPr>
              <w:t>64464023</w:t>
            </w:r>
            <w:r w:rsidRPr="001A4196">
              <w:rPr>
                <w:rFonts w:ascii="Calibri" w:hAnsi="Calibri" w:cs="Calibri"/>
                <w:sz w:val="20"/>
                <w:szCs w:val="20"/>
              </w:rPr>
              <w:t> e o código CRC </w:t>
            </w:r>
            <w:r w:rsidR="004C5081" w:rsidRPr="001A4196">
              <w:rPr>
                <w:rFonts w:ascii="Calibri" w:hAnsi="Calibri" w:cs="Calibri"/>
                <w:b/>
                <w:bCs/>
                <w:sz w:val="20"/>
                <w:szCs w:val="20"/>
              </w:rPr>
              <w:t>FDFBB0B2</w:t>
            </w:r>
            <w:r w:rsidRPr="001A4196">
              <w:rPr>
                <w:rFonts w:ascii="Calibri" w:hAnsi="Calibri" w:cs="Calibri"/>
                <w:sz w:val="20"/>
                <w:szCs w:val="20"/>
              </w:rPr>
              <w:t>.</w:t>
            </w:r>
          </w:p>
        </w:tc>
      </w:tr>
    </w:tbl>
    <w:p w14:paraId="03DF204D" w14:textId="77777777" w:rsidR="002E0D6D" w:rsidRPr="00205E97" w:rsidRDefault="002E0D6D" w:rsidP="00205E97">
      <w:pPr>
        <w:jc w:val="both"/>
        <w:rPr>
          <w:rFonts w:ascii="Calibri" w:hAnsi="Calibri" w:cs="Calibri"/>
          <w:sz w:val="24"/>
          <w:szCs w:val="24"/>
        </w:rPr>
      </w:pPr>
    </w:p>
    <w:sectPr w:rsidR="002E0D6D" w:rsidRPr="00205E97" w:rsidSect="00205E97">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E97"/>
    <w:rsid w:val="00071A15"/>
    <w:rsid w:val="001A4196"/>
    <w:rsid w:val="00205E97"/>
    <w:rsid w:val="002E0D6D"/>
    <w:rsid w:val="00412E5D"/>
    <w:rsid w:val="004C5081"/>
    <w:rsid w:val="00560AA1"/>
    <w:rsid w:val="00A42693"/>
    <w:rsid w:val="00D44C31"/>
    <w:rsid w:val="00F91D8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7E9243FF"/>
  <w15:chartTrackingRefBased/>
  <w15:docId w15:val="{3C5F7936-1D99-43BC-A7EF-F697A4DD6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205E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205E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205E9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205E9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205E9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205E9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205E9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205E9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205E97"/>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05E97"/>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205E97"/>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205E97"/>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205E97"/>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205E97"/>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205E97"/>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205E97"/>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205E97"/>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205E97"/>
    <w:rPr>
      <w:rFonts w:eastAsiaTheme="majorEastAsia" w:cstheme="majorBidi"/>
      <w:color w:val="272727" w:themeColor="text1" w:themeTint="D8"/>
    </w:rPr>
  </w:style>
  <w:style w:type="paragraph" w:styleId="Ttulo">
    <w:name w:val="Title"/>
    <w:basedOn w:val="Normal"/>
    <w:next w:val="Normal"/>
    <w:link w:val="TtuloChar"/>
    <w:uiPriority w:val="10"/>
    <w:qFormat/>
    <w:rsid w:val="00205E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205E9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205E97"/>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205E97"/>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205E97"/>
    <w:pPr>
      <w:spacing w:before="160"/>
      <w:jc w:val="center"/>
    </w:pPr>
    <w:rPr>
      <w:i/>
      <w:iCs/>
      <w:color w:val="404040" w:themeColor="text1" w:themeTint="BF"/>
    </w:rPr>
  </w:style>
  <w:style w:type="character" w:customStyle="1" w:styleId="CitaoChar">
    <w:name w:val="Citação Char"/>
    <w:basedOn w:val="Fontepargpadro"/>
    <w:link w:val="Citao"/>
    <w:uiPriority w:val="29"/>
    <w:rsid w:val="00205E97"/>
    <w:rPr>
      <w:i/>
      <w:iCs/>
      <w:color w:val="404040" w:themeColor="text1" w:themeTint="BF"/>
    </w:rPr>
  </w:style>
  <w:style w:type="paragraph" w:styleId="PargrafodaLista">
    <w:name w:val="List Paragraph"/>
    <w:basedOn w:val="Normal"/>
    <w:uiPriority w:val="34"/>
    <w:qFormat/>
    <w:rsid w:val="00205E97"/>
    <w:pPr>
      <w:ind w:left="720"/>
      <w:contextualSpacing/>
    </w:pPr>
  </w:style>
  <w:style w:type="character" w:styleId="nfaseIntensa">
    <w:name w:val="Intense Emphasis"/>
    <w:basedOn w:val="Fontepargpadro"/>
    <w:uiPriority w:val="21"/>
    <w:qFormat/>
    <w:rsid w:val="00205E97"/>
    <w:rPr>
      <w:i/>
      <w:iCs/>
      <w:color w:val="0F4761" w:themeColor="accent1" w:themeShade="BF"/>
    </w:rPr>
  </w:style>
  <w:style w:type="paragraph" w:styleId="CitaoIntensa">
    <w:name w:val="Intense Quote"/>
    <w:basedOn w:val="Normal"/>
    <w:next w:val="Normal"/>
    <w:link w:val="CitaoIntensaChar"/>
    <w:uiPriority w:val="30"/>
    <w:qFormat/>
    <w:rsid w:val="00205E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205E97"/>
    <w:rPr>
      <w:i/>
      <w:iCs/>
      <w:color w:val="0F4761" w:themeColor="accent1" w:themeShade="BF"/>
    </w:rPr>
  </w:style>
  <w:style w:type="character" w:styleId="RefernciaIntensa">
    <w:name w:val="Intense Reference"/>
    <w:basedOn w:val="Fontepargpadro"/>
    <w:uiPriority w:val="32"/>
    <w:qFormat/>
    <w:rsid w:val="00205E97"/>
    <w:rPr>
      <w:b/>
      <w:bCs/>
      <w:smallCaps/>
      <w:color w:val="0F4761" w:themeColor="accent1" w:themeShade="BF"/>
      <w:spacing w:val="5"/>
    </w:rPr>
  </w:style>
  <w:style w:type="character" w:styleId="Hyperlink">
    <w:name w:val="Hyperlink"/>
    <w:basedOn w:val="Fontepargpadro"/>
    <w:uiPriority w:val="99"/>
    <w:unhideWhenUsed/>
    <w:rsid w:val="00205E97"/>
    <w:rPr>
      <w:color w:val="467886" w:themeColor="hyperlink"/>
      <w:u w:val="single"/>
    </w:rPr>
  </w:style>
  <w:style w:type="character" w:styleId="MenoPendente">
    <w:name w:val="Unresolved Mention"/>
    <w:basedOn w:val="Fontepargpadro"/>
    <w:uiPriority w:val="99"/>
    <w:semiHidden/>
    <w:unhideWhenUsed/>
    <w:rsid w:val="00205E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92366">
      <w:bodyDiv w:val="1"/>
      <w:marLeft w:val="0"/>
      <w:marRight w:val="0"/>
      <w:marTop w:val="0"/>
      <w:marBottom w:val="0"/>
      <w:divBdr>
        <w:top w:val="none" w:sz="0" w:space="0" w:color="auto"/>
        <w:left w:val="none" w:sz="0" w:space="0" w:color="auto"/>
        <w:bottom w:val="none" w:sz="0" w:space="0" w:color="auto"/>
        <w:right w:val="none" w:sz="0" w:space="0" w:color="auto"/>
      </w:divBdr>
      <w:divsChild>
        <w:div w:id="1501578588">
          <w:marLeft w:val="0"/>
          <w:marRight w:val="0"/>
          <w:marTop w:val="0"/>
          <w:marBottom w:val="0"/>
          <w:divBdr>
            <w:top w:val="single" w:sz="12" w:space="3" w:color="777777"/>
            <w:left w:val="single" w:sz="12" w:space="3" w:color="777777"/>
            <w:bottom w:val="single" w:sz="12" w:space="3" w:color="777777"/>
            <w:right w:val="single" w:sz="12" w:space="3" w:color="777777"/>
          </w:divBdr>
        </w:div>
        <w:div w:id="1709914637">
          <w:marLeft w:val="0"/>
          <w:marRight w:val="0"/>
          <w:marTop w:val="0"/>
          <w:marBottom w:val="0"/>
          <w:divBdr>
            <w:top w:val="none" w:sz="0" w:space="0" w:color="auto"/>
            <w:left w:val="none" w:sz="0" w:space="0" w:color="auto"/>
            <w:bottom w:val="none" w:sz="0" w:space="0" w:color="auto"/>
            <w:right w:val="none" w:sz="0" w:space="0" w:color="auto"/>
          </w:divBdr>
        </w:div>
        <w:div w:id="482742164">
          <w:marLeft w:val="0"/>
          <w:marRight w:val="0"/>
          <w:marTop w:val="0"/>
          <w:marBottom w:val="0"/>
          <w:divBdr>
            <w:top w:val="none" w:sz="0" w:space="0" w:color="auto"/>
            <w:left w:val="none" w:sz="0" w:space="0" w:color="auto"/>
            <w:bottom w:val="none" w:sz="0" w:space="0" w:color="auto"/>
            <w:right w:val="none" w:sz="0" w:space="0" w:color="auto"/>
          </w:divBdr>
        </w:div>
      </w:divsChild>
    </w:div>
    <w:div w:id="834954261">
      <w:bodyDiv w:val="1"/>
      <w:marLeft w:val="0"/>
      <w:marRight w:val="0"/>
      <w:marTop w:val="0"/>
      <w:marBottom w:val="0"/>
      <w:divBdr>
        <w:top w:val="none" w:sz="0" w:space="0" w:color="auto"/>
        <w:left w:val="none" w:sz="0" w:space="0" w:color="auto"/>
        <w:bottom w:val="none" w:sz="0" w:space="0" w:color="auto"/>
        <w:right w:val="none" w:sz="0" w:space="0" w:color="auto"/>
      </w:divBdr>
      <w:divsChild>
        <w:div w:id="278949033">
          <w:marLeft w:val="0"/>
          <w:marRight w:val="0"/>
          <w:marTop w:val="0"/>
          <w:marBottom w:val="0"/>
          <w:divBdr>
            <w:top w:val="single" w:sz="12" w:space="3" w:color="777777"/>
            <w:left w:val="single" w:sz="12" w:space="3" w:color="777777"/>
            <w:bottom w:val="single" w:sz="12" w:space="3" w:color="777777"/>
            <w:right w:val="single" w:sz="12" w:space="3" w:color="777777"/>
          </w:divBdr>
        </w:div>
        <w:div w:id="1253515107">
          <w:marLeft w:val="0"/>
          <w:marRight w:val="0"/>
          <w:marTop w:val="0"/>
          <w:marBottom w:val="0"/>
          <w:divBdr>
            <w:top w:val="none" w:sz="0" w:space="0" w:color="auto"/>
            <w:left w:val="none" w:sz="0" w:space="0" w:color="auto"/>
            <w:bottom w:val="none" w:sz="0" w:space="0" w:color="auto"/>
            <w:right w:val="none" w:sz="0" w:space="0" w:color="auto"/>
          </w:divBdr>
        </w:div>
        <w:div w:id="5554381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of.ro.gov.br/data/uploads/2017/04/Doe-05_04_2017.pdf" TargetMode="External"/><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hyperlink" Target="http://sei.sistemas.ro.gov.br/sei/controlador_externo.php?acao=documento_conferir&amp;id_orgao_acesso_externo=0" TargetMode="External"/><Relationship Id="rId4" Type="http://schemas.openxmlformats.org/officeDocument/2006/relationships/image" Target="media/image1.png"/><Relationship Id="rId9" Type="http://schemas.openxmlformats.org/officeDocument/2006/relationships/image" Target="media/image3.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6</Pages>
  <Words>1705</Words>
  <Characters>9210</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Portaria Conjunta Nº 57, DE 16 DE setembro DE 2025.</dc:title>
  <dc:subject>Dispõe sobre a atualização em lote de valores inscritos em dívida ativa com base na aplicação da taxa SELIC, em conformidade com a Lei n. 6.062/2025 e o Decreto n. 30.466/2025.</dc:subject>
  <dc:creator>Claudio Huther de Moraes</dc:creator>
  <cp:keywords/>
  <dc:description/>
  <cp:lastModifiedBy>Mariana Cavalcante Maciel</cp:lastModifiedBy>
  <cp:revision>8</cp:revision>
  <dcterms:created xsi:type="dcterms:W3CDTF">2025-09-18T13:39:00Z</dcterms:created>
  <dcterms:modified xsi:type="dcterms:W3CDTF">2025-09-18T14:36:00Z</dcterms:modified>
</cp:coreProperties>
</file>