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49F40A" w14:textId="7DD84D40" w:rsidR="002770A0" w:rsidRPr="002770A0" w:rsidRDefault="002770A0" w:rsidP="002770A0">
      <w:pPr>
        <w:spacing w:after="0" w:line="240" w:lineRule="auto"/>
        <w:rPr>
          <w:rFonts w:ascii="Calibri" w:hAnsi="Calibri" w:cs="Calibri"/>
          <w:color w:val="E74C3C"/>
          <w:sz w:val="20"/>
          <w:szCs w:val="20"/>
          <w:shd w:val="clear" w:color="auto" w:fill="FFFFFF"/>
        </w:rPr>
      </w:pPr>
      <w:r w:rsidRPr="002770A0">
        <w:rPr>
          <w:rFonts w:ascii="Calibri" w:hAnsi="Calibri" w:cs="Calibri"/>
          <w:color w:val="E74C3C"/>
          <w:sz w:val="20"/>
          <w:szCs w:val="20"/>
          <w:shd w:val="clear" w:color="auto" w:fill="FFFFFF"/>
        </w:rPr>
        <w:t>* Este texto não substitui o publicado no DOE.</w:t>
      </w:r>
    </w:p>
    <w:p w14:paraId="3FF47DAE" w14:textId="77777777" w:rsidR="002770A0" w:rsidRPr="002770A0" w:rsidRDefault="002770A0" w:rsidP="002770A0">
      <w:pPr>
        <w:spacing w:after="0" w:line="240" w:lineRule="auto"/>
        <w:rPr>
          <w:rFonts w:ascii="Calibri" w:eastAsia="Times New Roman" w:hAnsi="Calibri" w:cs="Calibri"/>
          <w:color w:val="000000"/>
          <w:kern w:val="0"/>
          <w:sz w:val="20"/>
          <w:szCs w:val="20"/>
          <w:lang w:eastAsia="pt-BR"/>
          <w14:ligatures w14:val="none"/>
        </w:rPr>
      </w:pPr>
    </w:p>
    <w:p w14:paraId="15AA95E9" w14:textId="33C38173" w:rsidR="002770A0" w:rsidRPr="002770A0" w:rsidRDefault="002770A0" w:rsidP="002770A0">
      <w:pPr>
        <w:spacing w:after="0" w:line="240" w:lineRule="auto"/>
        <w:rPr>
          <w:rFonts w:ascii="Calibri" w:eastAsia="Times New Roman" w:hAnsi="Calibri" w:cs="Calibri"/>
          <w:color w:val="000000"/>
          <w:kern w:val="0"/>
          <w:sz w:val="20"/>
          <w:szCs w:val="20"/>
          <w:lang w:eastAsia="pt-BR"/>
          <w14:ligatures w14:val="none"/>
        </w:rPr>
      </w:pPr>
      <w:r w:rsidRPr="002770A0">
        <w:rPr>
          <w:rFonts w:ascii="Calibri" w:eastAsia="Times New Roman" w:hAnsi="Calibri" w:cs="Calibri"/>
          <w:color w:val="000000"/>
          <w:kern w:val="0"/>
          <w:sz w:val="20"/>
          <w:szCs w:val="20"/>
          <w:lang w:eastAsia="pt-BR"/>
          <w14:ligatures w14:val="none"/>
        </w:rPr>
        <w:t>Diário Oficial do Estado de Rondônia nº 123</w:t>
      </w:r>
      <w:r w:rsidRPr="002770A0">
        <w:rPr>
          <w:rFonts w:ascii="Calibri" w:eastAsia="Times New Roman" w:hAnsi="Calibri" w:cs="Calibri"/>
          <w:color w:val="000000"/>
          <w:kern w:val="0"/>
          <w:sz w:val="20"/>
          <w:szCs w:val="20"/>
          <w:lang w:eastAsia="pt-BR"/>
          <w14:ligatures w14:val="none"/>
        </w:rPr>
        <w:br/>
        <w:t>Disponibilização: 04/07/2022</w:t>
      </w:r>
      <w:r w:rsidRPr="002770A0">
        <w:rPr>
          <w:rFonts w:ascii="Calibri" w:eastAsia="Times New Roman" w:hAnsi="Calibri" w:cs="Calibri"/>
          <w:color w:val="000000"/>
          <w:kern w:val="0"/>
          <w:sz w:val="20"/>
          <w:szCs w:val="20"/>
          <w:lang w:eastAsia="pt-BR"/>
          <w14:ligatures w14:val="none"/>
        </w:rPr>
        <w:br/>
        <w:t>Publicação: 01/07/2022</w:t>
      </w:r>
    </w:p>
    <w:p w14:paraId="2985A829" w14:textId="103149A2" w:rsidR="002770A0" w:rsidRPr="002770A0" w:rsidRDefault="002770A0" w:rsidP="002770A0">
      <w:pPr>
        <w:spacing w:after="0" w:line="240" w:lineRule="auto"/>
        <w:rPr>
          <w:rFonts w:ascii="Calibri" w:eastAsia="Times New Roman" w:hAnsi="Calibri" w:cs="Calibri"/>
          <w:color w:val="000000"/>
          <w:kern w:val="0"/>
          <w:sz w:val="20"/>
          <w:szCs w:val="20"/>
          <w:lang w:eastAsia="pt-BR"/>
          <w14:ligatures w14:val="none"/>
        </w:rPr>
      </w:pPr>
      <w:r w:rsidRPr="002770A0">
        <w:rPr>
          <w:rFonts w:ascii="Calibri" w:eastAsia="Times New Roman" w:hAnsi="Calibri" w:cs="Calibri"/>
          <w:color w:val="000000"/>
          <w:kern w:val="0"/>
          <w:sz w:val="20"/>
          <w:szCs w:val="20"/>
          <w:lang w:eastAsia="pt-BR"/>
          <w14:ligatures w14:val="none"/>
        </w:rPr>
        <w:t>  </w:t>
      </w:r>
    </w:p>
    <w:p w14:paraId="4E948BC9" w14:textId="77777777" w:rsidR="002770A0" w:rsidRDefault="002770A0" w:rsidP="002770A0">
      <w:pPr>
        <w:spacing w:after="0" w:line="240" w:lineRule="auto"/>
        <w:jc w:val="center"/>
        <w:rPr>
          <w:rFonts w:ascii="Calibri" w:eastAsia="Times New Roman" w:hAnsi="Calibri" w:cs="Calibri"/>
          <w:color w:val="000000"/>
          <w:kern w:val="0"/>
          <w:sz w:val="24"/>
          <w:szCs w:val="24"/>
          <w:lang w:eastAsia="pt-BR"/>
          <w14:ligatures w14:val="none"/>
        </w:rPr>
      </w:pPr>
      <w:r>
        <w:rPr>
          <w:rFonts w:ascii="Calibri" w:eastAsia="Times New Roman" w:hAnsi="Calibri" w:cs="Calibri"/>
          <w:noProof/>
          <w:color w:val="000000"/>
          <w:kern w:val="0"/>
          <w:sz w:val="24"/>
          <w:szCs w:val="24"/>
          <w:lang w:eastAsia="pt-BR"/>
        </w:rPr>
        <w:drawing>
          <wp:inline distT="0" distB="0" distL="0" distR="0" wp14:anchorId="7D83F227" wp14:editId="514B81CD">
            <wp:extent cx="1707630" cy="1311215"/>
            <wp:effectExtent l="0" t="0" r="0" b="3810"/>
            <wp:docPr id="908263049" name="Imagem 3" descr="Imagem digital fictícia de personagem de desenho animado&#10;&#10;Descrição gerada automaticamente com confiança bai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263049" name="Imagem 3" descr="Imagem digital fictícia de personagem de desenho animado&#10;&#10;Descrição gerada automaticamente com confiança baixa"/>
                    <pic:cNvPicPr/>
                  </pic:nvPicPr>
                  <pic:blipFill>
                    <a:blip r:embed="rId4">
                      <a:extLst>
                        <a:ext uri="{28A0092B-C50C-407E-A947-70E740481C1C}">
                          <a14:useLocalDpi xmlns:a14="http://schemas.microsoft.com/office/drawing/2010/main" val="0"/>
                        </a:ext>
                      </a:extLst>
                    </a:blip>
                    <a:stretch>
                      <a:fillRect/>
                    </a:stretch>
                  </pic:blipFill>
                  <pic:spPr>
                    <a:xfrm>
                      <a:off x="0" y="0"/>
                      <a:ext cx="1717872" cy="1319079"/>
                    </a:xfrm>
                    <a:prstGeom prst="rect">
                      <a:avLst/>
                    </a:prstGeom>
                  </pic:spPr>
                </pic:pic>
              </a:graphicData>
            </a:graphic>
          </wp:inline>
        </w:drawing>
      </w:r>
    </w:p>
    <w:p w14:paraId="0790FF3F" w14:textId="5F0143D8" w:rsidR="002770A0" w:rsidRPr="002770A0" w:rsidRDefault="002770A0" w:rsidP="002770A0">
      <w:pPr>
        <w:spacing w:after="0" w:line="240" w:lineRule="auto"/>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br/>
        <w:t>GOVERNADORIA - CASA CIVIL  </w:t>
      </w:r>
    </w:p>
    <w:p w14:paraId="609CB8E6" w14:textId="77777777" w:rsidR="002770A0" w:rsidRPr="002770A0" w:rsidRDefault="002770A0" w:rsidP="002770A0">
      <w:pPr>
        <w:spacing w:before="120" w:after="120" w:line="240" w:lineRule="auto"/>
        <w:ind w:left="120" w:right="12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LEI COMPLEMENTAR N° 1.166, DE 1° DE JULHO DE 2022.</w:t>
      </w:r>
    </w:p>
    <w:p w14:paraId="26CFED4C" w14:textId="77777777" w:rsidR="002770A0" w:rsidRPr="002770A0" w:rsidRDefault="002770A0" w:rsidP="002770A0">
      <w:pPr>
        <w:spacing w:after="0" w:line="240" w:lineRule="auto"/>
        <w:ind w:left="2660"/>
        <w:jc w:val="both"/>
        <w:rPr>
          <w:rFonts w:ascii="Calibri" w:hAnsi="Calibri" w:cs="Calibri"/>
          <w:color w:val="000000"/>
          <w:sz w:val="24"/>
          <w:szCs w:val="24"/>
        </w:rPr>
      </w:pPr>
      <w:r w:rsidRPr="002770A0">
        <w:rPr>
          <w:rFonts w:ascii="Calibri" w:hAnsi="Calibri" w:cs="Calibri"/>
          <w:color w:val="000000"/>
          <w:sz w:val="24"/>
          <w:szCs w:val="24"/>
        </w:rPr>
        <w:t>Disciplina a distribuição da parcela do Imposto sobre Operações Relativa à Circulação de Mercadorias e sobre Prestação de Serviços de Transporte Interestadual e Intermunicipal e de Comunicação - ICMS destinada aos municípios e revoga as Leis Complementares n° 115, de 14 de junho de 1994, e n° 147, de 15 de janeiro de 1996.</w:t>
      </w:r>
    </w:p>
    <w:p w14:paraId="5C69E8FE" w14:textId="409B7478"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661C5148"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O GOVERNADOR DO ESTADO DE RONDÔNIA:</w:t>
      </w:r>
    </w:p>
    <w:p w14:paraId="67671E68"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Faço saber que a Assembleia Legislativa decreta e eu sanciono a seguinte Lei Complementar:</w:t>
      </w:r>
    </w:p>
    <w:p w14:paraId="7A066128"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61CA3284"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Art. 1</w:t>
      </w:r>
      <w:proofErr w:type="gramStart"/>
      <w:r w:rsidRPr="002770A0">
        <w:rPr>
          <w:rFonts w:ascii="Calibri" w:eastAsia="Times New Roman" w:hAnsi="Calibri" w:cs="Calibri"/>
          <w:color w:val="000000"/>
          <w:kern w:val="0"/>
          <w:sz w:val="24"/>
          <w:szCs w:val="24"/>
          <w:lang w:eastAsia="pt-BR"/>
          <w14:ligatures w14:val="none"/>
        </w:rPr>
        <w:t>°  Estabelece</w:t>
      </w:r>
      <w:proofErr w:type="gramEnd"/>
      <w:r w:rsidRPr="002770A0">
        <w:rPr>
          <w:rFonts w:ascii="Calibri" w:eastAsia="Times New Roman" w:hAnsi="Calibri" w:cs="Calibri"/>
          <w:color w:val="000000"/>
          <w:kern w:val="0"/>
          <w:sz w:val="24"/>
          <w:szCs w:val="24"/>
          <w:lang w:eastAsia="pt-BR"/>
          <w14:ligatures w14:val="none"/>
        </w:rPr>
        <w:t xml:space="preserve"> que 25% (vinte e cinco por cento) da receita proveniente do produto da arrecadação do Imposto sobre Operações Relativa à Circulação de Mercadorias e sobre Prestação de Serviços de Transporte Interestadual e Intermunicipal e de Comunicação - ICMS serão distribuídos aos municípios do estado de Rondônia, conforme Anexo Único desta Lei Complementar.</w:t>
      </w:r>
    </w:p>
    <w:p w14:paraId="2500DCE1"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2D265EEF"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Art. 2</w:t>
      </w:r>
      <w:proofErr w:type="gramStart"/>
      <w:r w:rsidRPr="002770A0">
        <w:rPr>
          <w:rFonts w:ascii="Calibri" w:eastAsia="Times New Roman" w:hAnsi="Calibri" w:cs="Calibri"/>
          <w:color w:val="000000"/>
          <w:kern w:val="0"/>
          <w:sz w:val="24"/>
          <w:szCs w:val="24"/>
          <w:lang w:eastAsia="pt-BR"/>
          <w14:ligatures w14:val="none"/>
        </w:rPr>
        <w:t>°  Para</w:t>
      </w:r>
      <w:proofErr w:type="gramEnd"/>
      <w:r w:rsidRPr="002770A0">
        <w:rPr>
          <w:rFonts w:ascii="Calibri" w:eastAsia="Times New Roman" w:hAnsi="Calibri" w:cs="Calibri"/>
          <w:color w:val="000000"/>
          <w:kern w:val="0"/>
          <w:sz w:val="24"/>
          <w:szCs w:val="24"/>
          <w:lang w:eastAsia="pt-BR"/>
          <w14:ligatures w14:val="none"/>
        </w:rPr>
        <w:t xml:space="preserve"> fins desta Lei Complementar, consideram-se os seguintes conceitos:</w:t>
      </w:r>
    </w:p>
    <w:p w14:paraId="3414BD55"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1AB03CCC"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I - Valor Adicionado Fiscal - VAF: representa a média aritmética simples, nos dois exercícios anteriores ao da apuração, da relação percentual entre o valor adicionado de cada município e o valor adicionado do estado;</w:t>
      </w:r>
    </w:p>
    <w:p w14:paraId="76192C8E"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3ECF4A9B"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II - </w:t>
      </w:r>
      <w:proofErr w:type="gramStart"/>
      <w:r w:rsidRPr="002770A0">
        <w:rPr>
          <w:rFonts w:ascii="Calibri" w:eastAsia="Times New Roman" w:hAnsi="Calibri" w:cs="Calibri"/>
          <w:color w:val="000000"/>
          <w:kern w:val="0"/>
          <w:sz w:val="24"/>
          <w:szCs w:val="24"/>
          <w:lang w:eastAsia="pt-BR"/>
          <w14:ligatures w14:val="none"/>
        </w:rPr>
        <w:t>produção</w:t>
      </w:r>
      <w:proofErr w:type="gramEnd"/>
      <w:r w:rsidRPr="002770A0">
        <w:rPr>
          <w:rFonts w:ascii="Calibri" w:eastAsia="Times New Roman" w:hAnsi="Calibri" w:cs="Calibri"/>
          <w:color w:val="000000"/>
          <w:kern w:val="0"/>
          <w:sz w:val="24"/>
          <w:szCs w:val="24"/>
          <w:lang w:eastAsia="pt-BR"/>
          <w14:ligatures w14:val="none"/>
        </w:rPr>
        <w:t xml:space="preserve"> agrícola, pecuária e extrativista: representa o percentual da produção primária de cada município, incluindo a produção agropecuária e de extração, em relação ao total da produção de produtos primários do estado, no ano imediatamente anterior ao da apuração dos índices;</w:t>
      </w:r>
    </w:p>
    <w:p w14:paraId="316E0270"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64604C44"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III - unidades de conservação: percentual relativo a cada município em relação à área total do estado, em quilômetros quadrados, no ano imediatamente anterior ao da apuração dos índices, de áreas protegidas e estabelecidas em ecossistemas significativos do território estadual no âmbito administrativo do Governo Federal, Estadual e Municipal, nas categorias de estação ecológica, reserva biológica, parque, monumento natural, área de proteção ambiental, reserva indígena, floresta, reserva extrativista e outras incluídas em quaisquer categorias de unidade de conservação, criadas por lei ou decreto municipal, estadual ou federal, estando de acordo com a legislação ambiental;</w:t>
      </w:r>
    </w:p>
    <w:p w14:paraId="5D5AB4C7"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7BD61B98"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xml:space="preserve">IV - </w:t>
      </w:r>
      <w:proofErr w:type="gramStart"/>
      <w:r w:rsidRPr="002770A0">
        <w:rPr>
          <w:rFonts w:ascii="Calibri" w:eastAsia="Times New Roman" w:hAnsi="Calibri" w:cs="Calibri"/>
          <w:color w:val="000000"/>
          <w:kern w:val="0"/>
          <w:sz w:val="24"/>
          <w:szCs w:val="24"/>
          <w:lang w:eastAsia="pt-BR"/>
          <w14:ligatures w14:val="none"/>
        </w:rPr>
        <w:t>partes</w:t>
      </w:r>
      <w:proofErr w:type="gramEnd"/>
      <w:r w:rsidRPr="002770A0">
        <w:rPr>
          <w:rFonts w:ascii="Calibri" w:eastAsia="Times New Roman" w:hAnsi="Calibri" w:cs="Calibri"/>
          <w:color w:val="000000"/>
          <w:kern w:val="0"/>
          <w:sz w:val="24"/>
          <w:szCs w:val="24"/>
          <w:lang w:eastAsia="pt-BR"/>
          <w14:ligatures w14:val="none"/>
        </w:rPr>
        <w:t xml:space="preserve"> iguais: divisão igualitária para todos os municípios, correspondente à fração entre o percentual desse fator e o número de municípios que integrem o estado na data da apuração dos índices;</w:t>
      </w:r>
    </w:p>
    <w:p w14:paraId="5FED863C"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36439AEB"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xml:space="preserve">V - </w:t>
      </w:r>
      <w:proofErr w:type="gramStart"/>
      <w:r w:rsidRPr="002770A0">
        <w:rPr>
          <w:rFonts w:ascii="Calibri" w:eastAsia="Times New Roman" w:hAnsi="Calibri" w:cs="Calibri"/>
          <w:color w:val="000000"/>
          <w:kern w:val="0"/>
          <w:sz w:val="24"/>
          <w:szCs w:val="24"/>
          <w:lang w:eastAsia="pt-BR"/>
          <w14:ligatures w14:val="none"/>
        </w:rPr>
        <w:t>educação</w:t>
      </w:r>
      <w:proofErr w:type="gramEnd"/>
      <w:r w:rsidRPr="002770A0">
        <w:rPr>
          <w:rFonts w:ascii="Calibri" w:eastAsia="Times New Roman" w:hAnsi="Calibri" w:cs="Calibri"/>
          <w:color w:val="000000"/>
          <w:kern w:val="0"/>
          <w:sz w:val="24"/>
          <w:szCs w:val="24"/>
          <w:lang w:eastAsia="pt-BR"/>
          <w14:ligatures w14:val="none"/>
        </w:rPr>
        <w:t>: percentual calculado com base em indicadores de melhoria nos resultados de aprendizagem e de aumento da equidade, considerado o nível socioeconômico dos educandos;</w:t>
      </w:r>
    </w:p>
    <w:p w14:paraId="5A9AEB28"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043C49CE"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lastRenderedPageBreak/>
        <w:t xml:space="preserve">VI - </w:t>
      </w:r>
      <w:proofErr w:type="gramStart"/>
      <w:r w:rsidRPr="002770A0">
        <w:rPr>
          <w:rFonts w:ascii="Calibri" w:eastAsia="Times New Roman" w:hAnsi="Calibri" w:cs="Calibri"/>
          <w:color w:val="000000"/>
          <w:kern w:val="0"/>
          <w:sz w:val="24"/>
          <w:szCs w:val="24"/>
          <w:lang w:eastAsia="pt-BR"/>
          <w14:ligatures w14:val="none"/>
        </w:rPr>
        <w:t>superfície</w:t>
      </w:r>
      <w:proofErr w:type="gramEnd"/>
      <w:r w:rsidRPr="002770A0">
        <w:rPr>
          <w:rFonts w:ascii="Calibri" w:eastAsia="Times New Roman" w:hAnsi="Calibri" w:cs="Calibri"/>
          <w:color w:val="000000"/>
          <w:kern w:val="0"/>
          <w:sz w:val="24"/>
          <w:szCs w:val="24"/>
          <w:lang w:eastAsia="pt-BR"/>
          <w14:ligatures w14:val="none"/>
        </w:rPr>
        <w:t xml:space="preserve"> territorial: percentual proporcional à superfície territorial do município em relação à área total do estado, em quilômetros quadrados, consideradas as informações publicadas pelo Instituto Brasileiro de Geografia e Estatística - IBGE para o ano imediatamente anterior ao da apuração dos índices; e</w:t>
      </w:r>
    </w:p>
    <w:p w14:paraId="17E8295F"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4087EA91"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VII - população: percentual proporcional ao número de habitantes de cada município em relação à população total do estado, de acordo com a estimativa anual da população dos municípios rondonienses publicada pelo IBGE, para o ano imediatamente anterior ao da apuração dos índices.</w:t>
      </w:r>
    </w:p>
    <w:p w14:paraId="393E9A56"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31B3B108"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Art. 3</w:t>
      </w:r>
      <w:proofErr w:type="gramStart"/>
      <w:r w:rsidRPr="002770A0">
        <w:rPr>
          <w:rFonts w:ascii="Calibri" w:eastAsia="Times New Roman" w:hAnsi="Calibri" w:cs="Calibri"/>
          <w:color w:val="000000"/>
          <w:kern w:val="0"/>
          <w:sz w:val="24"/>
          <w:szCs w:val="24"/>
          <w:lang w:eastAsia="pt-BR"/>
          <w14:ligatures w14:val="none"/>
        </w:rPr>
        <w:t>°  Os</w:t>
      </w:r>
      <w:proofErr w:type="gramEnd"/>
      <w:r w:rsidRPr="002770A0">
        <w:rPr>
          <w:rFonts w:ascii="Calibri" w:eastAsia="Times New Roman" w:hAnsi="Calibri" w:cs="Calibri"/>
          <w:color w:val="000000"/>
          <w:kern w:val="0"/>
          <w:sz w:val="24"/>
          <w:szCs w:val="24"/>
          <w:lang w:eastAsia="pt-BR"/>
          <w14:ligatures w14:val="none"/>
        </w:rPr>
        <w:t xml:space="preserve"> índices percentuais por município</w:t>
      </w:r>
      <w:r w:rsidRPr="002770A0">
        <w:rPr>
          <w:rFonts w:ascii="Calibri" w:eastAsia="Times New Roman" w:hAnsi="Calibri" w:cs="Calibri"/>
          <w:b/>
          <w:bCs/>
          <w:color w:val="FF0000"/>
          <w:kern w:val="0"/>
          <w:sz w:val="24"/>
          <w:szCs w:val="24"/>
          <w:lang w:eastAsia="pt-BR"/>
          <w14:ligatures w14:val="none"/>
        </w:rPr>
        <w:t> </w:t>
      </w:r>
      <w:r w:rsidRPr="002770A0">
        <w:rPr>
          <w:rFonts w:ascii="Calibri" w:eastAsia="Times New Roman" w:hAnsi="Calibri" w:cs="Calibri"/>
          <w:color w:val="000000"/>
          <w:kern w:val="0"/>
          <w:sz w:val="24"/>
          <w:szCs w:val="24"/>
          <w:lang w:eastAsia="pt-BR"/>
          <w14:ligatures w14:val="none"/>
        </w:rPr>
        <w:t>relativos ao critério de educação previsto nesta Lei Complementar serão calculados anualmente com base em índices oficiais divulgados pelo Governo Federal ou por meio de avaliação externa por órgão ou entidade especializada ou conduzida pela Secretaria de Estado da Educação - SEDUC, atendendo às definições técnicas estabelecidas em decreto do Poder Executivo.</w:t>
      </w:r>
    </w:p>
    <w:p w14:paraId="559B46F0"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40FD4685"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Parágrafo único.  Caberá à SEDUC, em conjunto com a Secretaria de Estado de Finanças - SEFIN, garantir a aplicação do </w:t>
      </w:r>
      <w:r w:rsidRPr="002770A0">
        <w:rPr>
          <w:rFonts w:ascii="Calibri" w:eastAsia="Times New Roman" w:hAnsi="Calibri" w:cs="Calibri"/>
          <w:b/>
          <w:bCs/>
          <w:color w:val="000000"/>
          <w:kern w:val="0"/>
          <w:sz w:val="24"/>
          <w:szCs w:val="24"/>
          <w:lang w:eastAsia="pt-BR"/>
          <w14:ligatures w14:val="none"/>
        </w:rPr>
        <w:t>caput</w:t>
      </w:r>
      <w:r w:rsidRPr="002770A0">
        <w:rPr>
          <w:rFonts w:ascii="Calibri" w:eastAsia="Times New Roman" w:hAnsi="Calibri" w:cs="Calibri"/>
          <w:color w:val="000000"/>
          <w:kern w:val="0"/>
          <w:sz w:val="24"/>
          <w:szCs w:val="24"/>
          <w:lang w:eastAsia="pt-BR"/>
          <w14:ligatures w14:val="none"/>
        </w:rPr>
        <w:t>.</w:t>
      </w:r>
    </w:p>
    <w:p w14:paraId="4F873448"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10ED9170"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Art. 4</w:t>
      </w:r>
      <w:proofErr w:type="gramStart"/>
      <w:r w:rsidRPr="002770A0">
        <w:rPr>
          <w:rFonts w:ascii="Calibri" w:eastAsia="Times New Roman" w:hAnsi="Calibri" w:cs="Calibri"/>
          <w:color w:val="000000"/>
          <w:kern w:val="0"/>
          <w:sz w:val="24"/>
          <w:szCs w:val="24"/>
          <w:lang w:eastAsia="pt-BR"/>
          <w14:ligatures w14:val="none"/>
        </w:rPr>
        <w:t>°  O</w:t>
      </w:r>
      <w:proofErr w:type="gramEnd"/>
      <w:r w:rsidRPr="002770A0">
        <w:rPr>
          <w:rFonts w:ascii="Calibri" w:eastAsia="Times New Roman" w:hAnsi="Calibri" w:cs="Calibri"/>
          <w:color w:val="000000"/>
          <w:kern w:val="0"/>
          <w:sz w:val="24"/>
          <w:szCs w:val="24"/>
          <w:lang w:eastAsia="pt-BR"/>
          <w14:ligatures w14:val="none"/>
        </w:rPr>
        <w:t xml:space="preserve"> Poder Executivo regulamentará esta Lei Complementar no prazo de 90 (noventa) dias, a contar da data de sua publicação.</w:t>
      </w:r>
    </w:p>
    <w:p w14:paraId="04F14304"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36A4B550"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Art. 5</w:t>
      </w:r>
      <w:proofErr w:type="gramStart"/>
      <w:r w:rsidRPr="002770A0">
        <w:rPr>
          <w:rFonts w:ascii="Calibri" w:eastAsia="Times New Roman" w:hAnsi="Calibri" w:cs="Calibri"/>
          <w:color w:val="000000"/>
          <w:kern w:val="0"/>
          <w:sz w:val="24"/>
          <w:szCs w:val="24"/>
          <w:lang w:eastAsia="pt-BR"/>
          <w14:ligatures w14:val="none"/>
        </w:rPr>
        <w:t>°  Ficam</w:t>
      </w:r>
      <w:proofErr w:type="gramEnd"/>
      <w:r w:rsidRPr="002770A0">
        <w:rPr>
          <w:rFonts w:ascii="Calibri" w:eastAsia="Times New Roman" w:hAnsi="Calibri" w:cs="Calibri"/>
          <w:color w:val="000000"/>
          <w:kern w:val="0"/>
          <w:sz w:val="24"/>
          <w:szCs w:val="24"/>
          <w:lang w:eastAsia="pt-BR"/>
          <w14:ligatures w14:val="none"/>
        </w:rPr>
        <w:t xml:space="preserve"> revogadas as Leis Complementares n° 115, de 14 de junho de 1994, e n° 147, de 15 de janeiro de 1996.</w:t>
      </w:r>
    </w:p>
    <w:p w14:paraId="67CC9521"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2E81EF60"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Art. 6</w:t>
      </w:r>
      <w:proofErr w:type="gramStart"/>
      <w:r w:rsidRPr="002770A0">
        <w:rPr>
          <w:rFonts w:ascii="Calibri" w:eastAsia="Times New Roman" w:hAnsi="Calibri" w:cs="Calibri"/>
          <w:color w:val="000000"/>
          <w:kern w:val="0"/>
          <w:sz w:val="24"/>
          <w:szCs w:val="24"/>
          <w:lang w:eastAsia="pt-BR"/>
          <w14:ligatures w14:val="none"/>
        </w:rPr>
        <w:t>°  Esta</w:t>
      </w:r>
      <w:proofErr w:type="gramEnd"/>
      <w:r w:rsidRPr="002770A0">
        <w:rPr>
          <w:rFonts w:ascii="Calibri" w:eastAsia="Times New Roman" w:hAnsi="Calibri" w:cs="Calibri"/>
          <w:color w:val="000000"/>
          <w:kern w:val="0"/>
          <w:sz w:val="24"/>
          <w:szCs w:val="24"/>
          <w:lang w:eastAsia="pt-BR"/>
          <w14:ligatures w14:val="none"/>
        </w:rPr>
        <w:t xml:space="preserve"> Lei Complementar entra em vigor na data de sua publicação.</w:t>
      </w:r>
    </w:p>
    <w:p w14:paraId="49C90E4A"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4136139C"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Palácio do Governo do Estado de Rondônia, em 1° de julho de 2022, 134° da República.</w:t>
      </w:r>
    </w:p>
    <w:p w14:paraId="529B22A2"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248C8E53"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3F3CC817"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b/>
          <w:bCs/>
          <w:color w:val="000000"/>
          <w:kern w:val="0"/>
          <w:sz w:val="24"/>
          <w:szCs w:val="24"/>
          <w:lang w:eastAsia="pt-BR"/>
          <w14:ligatures w14:val="none"/>
        </w:rPr>
        <w:t>MARCOS JOSÉ ROCHA DOS SANTOS</w:t>
      </w:r>
    </w:p>
    <w:p w14:paraId="19D4EE34"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Governador</w:t>
      </w:r>
    </w:p>
    <w:p w14:paraId="18C2FE2F" w14:textId="77777777"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p>
    <w:p w14:paraId="4B7A005B" w14:textId="4E56D240" w:rsidR="002770A0" w:rsidRPr="002770A0" w:rsidRDefault="002770A0" w:rsidP="002770A0">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r w:rsidRPr="002770A0">
        <w:rPr>
          <w:rFonts w:ascii="Calibri" w:eastAsia="Times New Roman" w:hAnsi="Calibri" w:cs="Calibri"/>
          <w:b/>
          <w:bCs/>
          <w:color w:val="000000"/>
          <w:kern w:val="0"/>
          <w:sz w:val="24"/>
          <w:szCs w:val="24"/>
          <w:lang w:eastAsia="pt-BR"/>
          <w14:ligatures w14:val="none"/>
        </w:rPr>
        <w:t>ANEXO ÚNICO</w:t>
      </w:r>
    </w:p>
    <w:tbl>
      <w:tblPr>
        <w:tblW w:w="10500"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73"/>
        <w:gridCol w:w="1774"/>
        <w:gridCol w:w="674"/>
        <w:gridCol w:w="674"/>
        <w:gridCol w:w="674"/>
        <w:gridCol w:w="674"/>
        <w:gridCol w:w="1857"/>
      </w:tblGrid>
      <w:tr w:rsidR="002770A0" w:rsidRPr="002770A0" w14:paraId="6BA54B32" w14:textId="77777777" w:rsidTr="002770A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6C7C00"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b/>
                <w:bCs/>
                <w:color w:val="000000"/>
                <w:kern w:val="0"/>
                <w:sz w:val="24"/>
                <w:szCs w:val="24"/>
                <w:lang w:eastAsia="pt-BR"/>
                <w14:ligatures w14:val="none"/>
              </w:rPr>
              <w:t>Critérios de Distribuição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36DDD6C8"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b/>
                <w:bCs/>
                <w:color w:val="000000"/>
                <w:kern w:val="0"/>
                <w:sz w:val="24"/>
                <w:szCs w:val="24"/>
                <w:lang w:eastAsia="pt-BR"/>
                <w14:ligatures w14:val="none"/>
              </w:rPr>
              <w:t>De 2022 a 2024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574C5"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b/>
                <w:bCs/>
                <w:color w:val="000000"/>
                <w:kern w:val="0"/>
                <w:sz w:val="24"/>
                <w:szCs w:val="24"/>
                <w:lang w:eastAsia="pt-BR"/>
                <w14:ligatures w14:val="none"/>
              </w:rPr>
              <w:t>2025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D99A8"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b/>
                <w:bCs/>
                <w:color w:val="000000"/>
                <w:kern w:val="0"/>
                <w:sz w:val="24"/>
                <w:szCs w:val="24"/>
                <w:lang w:eastAsia="pt-BR"/>
                <w14:ligatures w14:val="none"/>
              </w:rPr>
              <w:t>2026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CB80B"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b/>
                <w:bCs/>
                <w:color w:val="000000"/>
                <w:kern w:val="0"/>
                <w:sz w:val="24"/>
                <w:szCs w:val="24"/>
                <w:lang w:eastAsia="pt-BR"/>
                <w14:ligatures w14:val="none"/>
              </w:rPr>
              <w:t>2027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D5B0E"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b/>
                <w:bCs/>
                <w:color w:val="000000"/>
                <w:kern w:val="0"/>
                <w:sz w:val="24"/>
                <w:szCs w:val="24"/>
                <w:lang w:eastAsia="pt-BR"/>
                <w14:ligatures w14:val="none"/>
              </w:rPr>
              <w:t>2028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B18DB"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b/>
                <w:bCs/>
                <w:color w:val="000000"/>
                <w:kern w:val="0"/>
                <w:sz w:val="24"/>
                <w:szCs w:val="24"/>
                <w:lang w:eastAsia="pt-BR"/>
                <w14:ligatures w14:val="none"/>
              </w:rPr>
              <w:t>A partir de 2029</w:t>
            </w:r>
          </w:p>
        </w:tc>
      </w:tr>
      <w:tr w:rsidR="002770A0" w:rsidRPr="002770A0" w14:paraId="6082D5C4" w14:textId="77777777" w:rsidTr="002770A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429B80" w14:textId="77777777" w:rsidR="002770A0" w:rsidRPr="002770A0" w:rsidRDefault="002770A0" w:rsidP="002770A0">
            <w:pPr>
              <w:spacing w:after="0" w:line="240" w:lineRule="auto"/>
              <w:ind w:left="60" w:right="60"/>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Valor Adicionado Fiscal - VAF</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44B59"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B8AF8"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F2CD3"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7879A"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9D678"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583EC"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68%</w:t>
            </w:r>
          </w:p>
        </w:tc>
      </w:tr>
      <w:tr w:rsidR="002770A0" w:rsidRPr="002770A0" w14:paraId="1C18B766" w14:textId="77777777" w:rsidTr="002770A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4FA2A9" w14:textId="77777777" w:rsidR="002770A0" w:rsidRPr="002770A0" w:rsidRDefault="002770A0" w:rsidP="002770A0">
            <w:pPr>
              <w:spacing w:after="0" w:line="240" w:lineRule="auto"/>
              <w:ind w:left="60" w:right="60"/>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Produção agrícola, pecuária e extrativa</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FFACD"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52FF0"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CDD21"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C3E1D"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7B393"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114D4"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5%</w:t>
            </w:r>
          </w:p>
        </w:tc>
      </w:tr>
      <w:tr w:rsidR="002770A0" w:rsidRPr="002770A0" w14:paraId="18CBAFB1" w14:textId="77777777" w:rsidTr="002770A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40883C" w14:textId="77777777" w:rsidR="002770A0" w:rsidRPr="002770A0" w:rsidRDefault="002770A0" w:rsidP="002770A0">
            <w:pPr>
              <w:spacing w:after="0" w:line="240" w:lineRule="auto"/>
              <w:ind w:left="60" w:right="60"/>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Unidades de conservação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7713C"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00C5A"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68E6B"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281C6"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98025"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5BE8B"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5%</w:t>
            </w:r>
          </w:p>
        </w:tc>
      </w:tr>
      <w:tr w:rsidR="002770A0" w:rsidRPr="002770A0" w14:paraId="1BB6170C" w14:textId="77777777" w:rsidTr="002770A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FE0EE" w14:textId="77777777" w:rsidR="002770A0" w:rsidRPr="002770A0" w:rsidRDefault="002770A0" w:rsidP="002770A0">
            <w:pPr>
              <w:spacing w:after="0" w:line="240" w:lineRule="auto"/>
              <w:ind w:left="60" w:right="60"/>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Partes iguais</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4FD2D"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184B5"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CFA07"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0DC6C"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4FB12"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0A13B"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8%</w:t>
            </w:r>
          </w:p>
        </w:tc>
      </w:tr>
      <w:tr w:rsidR="002770A0" w:rsidRPr="002770A0" w14:paraId="4303EFE9" w14:textId="77777777" w:rsidTr="002770A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9EED32" w14:textId="77777777" w:rsidR="002770A0" w:rsidRPr="002770A0" w:rsidRDefault="002770A0" w:rsidP="002770A0">
            <w:pPr>
              <w:spacing w:after="0" w:line="240" w:lineRule="auto"/>
              <w:ind w:left="60" w:right="60"/>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Educação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E6CBB"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E2C69"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A6FF7"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63CEF"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C6D60"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CB978"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14%</w:t>
            </w:r>
          </w:p>
        </w:tc>
      </w:tr>
      <w:tr w:rsidR="002770A0" w:rsidRPr="002770A0" w14:paraId="5D8437CD" w14:textId="77777777" w:rsidTr="002770A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1783C8" w14:textId="77777777" w:rsidR="002770A0" w:rsidRPr="002770A0" w:rsidRDefault="002770A0" w:rsidP="002770A0">
            <w:pPr>
              <w:spacing w:after="0" w:line="240" w:lineRule="auto"/>
              <w:ind w:left="60" w:right="60"/>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Superfície territorial</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743BB"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E3FFE"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9ABB2"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C9CE4"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B8669"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02ABB"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w:t>
            </w:r>
          </w:p>
        </w:tc>
      </w:tr>
      <w:tr w:rsidR="002770A0" w:rsidRPr="002770A0" w14:paraId="6D28FA82" w14:textId="77777777" w:rsidTr="002770A0">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5D9495" w14:textId="77777777" w:rsidR="002770A0" w:rsidRPr="002770A0" w:rsidRDefault="002770A0" w:rsidP="002770A0">
            <w:pPr>
              <w:spacing w:after="0" w:line="240" w:lineRule="auto"/>
              <w:ind w:left="60" w:right="60"/>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População</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9DB32"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AB015"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1E1D4"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177CD"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DE1FE"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3A40B" w14:textId="77777777" w:rsidR="002770A0" w:rsidRPr="002770A0" w:rsidRDefault="002770A0" w:rsidP="002770A0">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w:t>
            </w:r>
          </w:p>
        </w:tc>
      </w:tr>
    </w:tbl>
    <w:p w14:paraId="406C4EDA" w14:textId="58BF7022" w:rsidR="002770A0" w:rsidRPr="002770A0" w:rsidRDefault="002770A0" w:rsidP="002770A0">
      <w:pPr>
        <w:spacing w:before="100" w:beforeAutospacing="1" w:after="100" w:afterAutospacing="1" w:line="240" w:lineRule="auto"/>
        <w:rPr>
          <w:rFonts w:ascii="Calibri" w:eastAsia="Times New Roman" w:hAnsi="Calibri" w:cs="Calibri"/>
          <w:color w:val="000000"/>
          <w:kern w:val="0"/>
          <w:sz w:val="24"/>
          <w:szCs w:val="24"/>
          <w:lang w:eastAsia="pt-BR"/>
          <w14:ligatures w14:val="none"/>
        </w:rPr>
      </w:pPr>
      <w:r w:rsidRPr="002770A0">
        <w:rPr>
          <w:rFonts w:ascii="Calibri" w:eastAsia="Times New Roman" w:hAnsi="Calibri" w:cs="Calibri"/>
          <w:color w:val="000000"/>
          <w:kern w:val="0"/>
          <w:sz w:val="24"/>
          <w:szCs w:val="24"/>
          <w:lang w:eastAsia="pt-BR"/>
          <w14:ligatures w14:val="none"/>
        </w:rPr>
        <w:t> </w:t>
      </w:r>
      <w:r w:rsidRPr="002770A0">
        <w:rPr>
          <w:rFonts w:ascii="Calibri" w:eastAsia="Times New Roman" w:hAnsi="Calibri" w:cs="Calibri"/>
          <w:color w:val="000000"/>
          <w:kern w:val="0"/>
          <w:sz w:val="24"/>
          <w:szCs w:val="24"/>
          <w:lang w:eastAsia="pt-BR"/>
          <w14:ligatures w14:val="none"/>
        </w:rPr>
        <w:pict w14:anchorId="267DF364">
          <v:rect id="_x0000_i1050"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08"/>
        <w:gridCol w:w="9364"/>
      </w:tblGrid>
      <w:tr w:rsidR="002770A0" w:rsidRPr="002770A0" w14:paraId="516423BE" w14:textId="77777777" w:rsidTr="002770A0">
        <w:trPr>
          <w:tblCellSpacing w:w="15" w:type="dxa"/>
        </w:trPr>
        <w:tc>
          <w:tcPr>
            <w:tcW w:w="0" w:type="auto"/>
            <w:vAlign w:val="center"/>
            <w:hideMark/>
          </w:tcPr>
          <w:p w14:paraId="1619EA3F" w14:textId="63FFCFDA" w:rsidR="002770A0" w:rsidRPr="002770A0" w:rsidRDefault="002770A0" w:rsidP="002770A0">
            <w:pPr>
              <w:spacing w:after="0" w:line="240" w:lineRule="auto"/>
              <w:rPr>
                <w:rFonts w:ascii="Calibri" w:eastAsia="Times New Roman" w:hAnsi="Calibri" w:cs="Calibri"/>
                <w:kern w:val="0"/>
                <w:sz w:val="20"/>
                <w:szCs w:val="20"/>
                <w:lang w:eastAsia="pt-BR"/>
                <w14:ligatures w14:val="none"/>
              </w:rPr>
            </w:pPr>
            <w:r w:rsidRPr="002770A0">
              <w:rPr>
                <w:rFonts w:ascii="Calibri" w:eastAsia="Times New Roman" w:hAnsi="Calibri" w:cs="Calibri"/>
                <w:noProof/>
                <w:kern w:val="0"/>
                <w:sz w:val="20"/>
                <w:szCs w:val="20"/>
                <w:lang w:eastAsia="pt-BR"/>
                <w14:ligatures w14:val="none"/>
              </w:rPr>
              <w:drawing>
                <wp:inline distT="0" distB="0" distL="0" distR="0" wp14:anchorId="48EF1047" wp14:editId="5AA76CA5">
                  <wp:extent cx="846455" cy="573405"/>
                  <wp:effectExtent l="0" t="0" r="0" b="0"/>
                  <wp:docPr id="608130847" name="Imagem 2" descr="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tip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6455" cy="573405"/>
                          </a:xfrm>
                          <a:prstGeom prst="rect">
                            <a:avLst/>
                          </a:prstGeom>
                          <a:noFill/>
                          <a:ln>
                            <a:noFill/>
                          </a:ln>
                        </pic:spPr>
                      </pic:pic>
                    </a:graphicData>
                  </a:graphic>
                </wp:inline>
              </w:drawing>
            </w:r>
          </w:p>
        </w:tc>
        <w:tc>
          <w:tcPr>
            <w:tcW w:w="0" w:type="auto"/>
            <w:vAlign w:val="center"/>
            <w:hideMark/>
          </w:tcPr>
          <w:p w14:paraId="7B3C3FAF" w14:textId="77777777" w:rsidR="002770A0" w:rsidRPr="002770A0" w:rsidRDefault="002770A0" w:rsidP="002770A0">
            <w:pPr>
              <w:spacing w:after="0" w:line="240" w:lineRule="auto"/>
              <w:jc w:val="both"/>
              <w:rPr>
                <w:rFonts w:ascii="Calibri" w:eastAsia="Times New Roman" w:hAnsi="Calibri" w:cs="Calibri"/>
                <w:kern w:val="0"/>
                <w:sz w:val="20"/>
                <w:szCs w:val="20"/>
                <w:lang w:eastAsia="pt-BR"/>
                <w14:ligatures w14:val="none"/>
              </w:rPr>
            </w:pPr>
            <w:r w:rsidRPr="002770A0">
              <w:rPr>
                <w:rFonts w:ascii="Calibri" w:eastAsia="Times New Roman" w:hAnsi="Calibri" w:cs="Calibri"/>
                <w:kern w:val="0"/>
                <w:sz w:val="20"/>
                <w:szCs w:val="20"/>
                <w:lang w:eastAsia="pt-BR"/>
                <w14:ligatures w14:val="none"/>
              </w:rPr>
              <w:t>Documento assinado eletronicamente por </w:t>
            </w:r>
            <w:r w:rsidRPr="002770A0">
              <w:rPr>
                <w:rFonts w:ascii="Calibri" w:eastAsia="Times New Roman" w:hAnsi="Calibri" w:cs="Calibri"/>
                <w:b/>
                <w:bCs/>
                <w:kern w:val="0"/>
                <w:sz w:val="20"/>
                <w:szCs w:val="20"/>
                <w:lang w:eastAsia="pt-BR"/>
                <w14:ligatures w14:val="none"/>
              </w:rPr>
              <w:t>Marcos José Rocha dos Santos</w:t>
            </w:r>
            <w:r w:rsidRPr="002770A0">
              <w:rPr>
                <w:rFonts w:ascii="Calibri" w:eastAsia="Times New Roman" w:hAnsi="Calibri" w:cs="Calibri"/>
                <w:kern w:val="0"/>
                <w:sz w:val="20"/>
                <w:szCs w:val="20"/>
                <w:lang w:eastAsia="pt-BR"/>
                <w14:ligatures w14:val="none"/>
              </w:rPr>
              <w:t>, </w:t>
            </w:r>
            <w:r w:rsidRPr="002770A0">
              <w:rPr>
                <w:rFonts w:ascii="Calibri" w:eastAsia="Times New Roman" w:hAnsi="Calibri" w:cs="Calibri"/>
                <w:b/>
                <w:bCs/>
                <w:kern w:val="0"/>
                <w:sz w:val="20"/>
                <w:szCs w:val="20"/>
                <w:lang w:eastAsia="pt-BR"/>
                <w14:ligatures w14:val="none"/>
              </w:rPr>
              <w:t>Governador</w:t>
            </w:r>
            <w:r w:rsidRPr="002770A0">
              <w:rPr>
                <w:rFonts w:ascii="Calibri" w:eastAsia="Times New Roman" w:hAnsi="Calibri" w:cs="Calibri"/>
                <w:kern w:val="0"/>
                <w:sz w:val="20"/>
                <w:szCs w:val="20"/>
                <w:lang w:eastAsia="pt-BR"/>
                <w14:ligatures w14:val="none"/>
              </w:rPr>
              <w:t>, em 01/07/2022, às 14:39, conforme horário oficial de Brasília, com fundamento no artigo 18 caput e seus §§ 1º e 2º, do </w:t>
            </w:r>
            <w:hyperlink r:id="rId6" w:tgtFrame="_blank" w:tooltip="Acesse o Decreto" w:history="1">
              <w:r w:rsidRPr="002770A0">
                <w:rPr>
                  <w:rFonts w:ascii="Calibri" w:eastAsia="Times New Roman" w:hAnsi="Calibri" w:cs="Calibri"/>
                  <w:color w:val="0000FF"/>
                  <w:kern w:val="0"/>
                  <w:sz w:val="20"/>
                  <w:szCs w:val="20"/>
                  <w:u w:val="single"/>
                  <w:lang w:eastAsia="pt-BR"/>
                  <w14:ligatures w14:val="none"/>
                </w:rPr>
                <w:t>Decreto nº 21.794, de 5 Abril de 2017.</w:t>
              </w:r>
            </w:hyperlink>
          </w:p>
        </w:tc>
      </w:tr>
    </w:tbl>
    <w:p w14:paraId="09BC23F1" w14:textId="77777777" w:rsidR="002770A0" w:rsidRPr="002770A0" w:rsidRDefault="002770A0" w:rsidP="002770A0">
      <w:pPr>
        <w:spacing w:after="60" w:line="240" w:lineRule="auto"/>
        <w:rPr>
          <w:rFonts w:ascii="Calibri" w:eastAsia="Times New Roman" w:hAnsi="Calibri" w:cs="Calibri"/>
          <w:color w:val="000000"/>
          <w:kern w:val="0"/>
          <w:sz w:val="20"/>
          <w:szCs w:val="20"/>
          <w:lang w:eastAsia="pt-BR"/>
          <w14:ligatures w14:val="none"/>
        </w:rPr>
      </w:pPr>
      <w:r w:rsidRPr="002770A0">
        <w:rPr>
          <w:rFonts w:ascii="Calibri" w:eastAsia="Times New Roman" w:hAnsi="Calibri" w:cs="Calibri"/>
          <w:color w:val="000000"/>
          <w:kern w:val="0"/>
          <w:sz w:val="20"/>
          <w:szCs w:val="20"/>
          <w:lang w:eastAsia="pt-BR"/>
          <w14:ligatures w14:val="none"/>
        </w:rPr>
        <w:pict w14:anchorId="1650628A">
          <v:rect id="_x0000_i1027"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5"/>
        <w:gridCol w:w="9407"/>
      </w:tblGrid>
      <w:tr w:rsidR="002770A0" w:rsidRPr="002770A0" w14:paraId="67721B7A" w14:textId="77777777" w:rsidTr="002770A0">
        <w:trPr>
          <w:tblCellSpacing w:w="15" w:type="dxa"/>
        </w:trPr>
        <w:tc>
          <w:tcPr>
            <w:tcW w:w="0" w:type="auto"/>
            <w:vAlign w:val="center"/>
            <w:hideMark/>
          </w:tcPr>
          <w:p w14:paraId="11BB87F4" w14:textId="179681D1" w:rsidR="002770A0" w:rsidRPr="002770A0" w:rsidRDefault="002770A0" w:rsidP="002770A0">
            <w:pPr>
              <w:spacing w:after="0" w:line="240" w:lineRule="auto"/>
              <w:rPr>
                <w:rFonts w:ascii="Calibri" w:eastAsia="Times New Roman" w:hAnsi="Calibri" w:cs="Calibri"/>
                <w:kern w:val="0"/>
                <w:sz w:val="20"/>
                <w:szCs w:val="20"/>
                <w:lang w:eastAsia="pt-BR"/>
                <w14:ligatures w14:val="none"/>
              </w:rPr>
            </w:pPr>
            <w:r w:rsidRPr="002770A0">
              <w:rPr>
                <w:rFonts w:ascii="Calibri" w:eastAsia="Times New Roman" w:hAnsi="Calibri" w:cs="Calibri"/>
                <w:noProof/>
                <w:kern w:val="0"/>
                <w:sz w:val="20"/>
                <w:szCs w:val="20"/>
                <w:lang w:eastAsia="pt-BR"/>
                <w14:ligatures w14:val="none"/>
              </w:rPr>
              <w:lastRenderedPageBreak/>
              <w:drawing>
                <wp:inline distT="0" distB="0" distL="0" distR="0" wp14:anchorId="24E10D72" wp14:editId="33C4950A">
                  <wp:extent cx="819150" cy="819150"/>
                  <wp:effectExtent l="0" t="0" r="0" b="0"/>
                  <wp:docPr id="1014447004" name="Imagem 1" descr="QRCode Assina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RCode Assinatur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a:ln>
                            <a:noFill/>
                          </a:ln>
                        </pic:spPr>
                      </pic:pic>
                    </a:graphicData>
                  </a:graphic>
                </wp:inline>
              </w:drawing>
            </w:r>
          </w:p>
        </w:tc>
        <w:tc>
          <w:tcPr>
            <w:tcW w:w="0" w:type="auto"/>
            <w:vAlign w:val="center"/>
            <w:hideMark/>
          </w:tcPr>
          <w:p w14:paraId="625B6658" w14:textId="77777777" w:rsidR="002770A0" w:rsidRPr="002770A0" w:rsidRDefault="002770A0" w:rsidP="002770A0">
            <w:pPr>
              <w:spacing w:after="0" w:line="240" w:lineRule="auto"/>
              <w:jc w:val="both"/>
              <w:rPr>
                <w:rFonts w:ascii="Calibri" w:eastAsia="Times New Roman" w:hAnsi="Calibri" w:cs="Calibri"/>
                <w:kern w:val="0"/>
                <w:sz w:val="20"/>
                <w:szCs w:val="20"/>
                <w:lang w:eastAsia="pt-BR"/>
                <w14:ligatures w14:val="none"/>
              </w:rPr>
            </w:pPr>
            <w:r w:rsidRPr="002770A0">
              <w:rPr>
                <w:rFonts w:ascii="Calibri" w:eastAsia="Times New Roman" w:hAnsi="Calibri" w:cs="Calibri"/>
                <w:kern w:val="0"/>
                <w:sz w:val="20"/>
                <w:szCs w:val="20"/>
                <w:lang w:eastAsia="pt-BR"/>
                <w14:ligatures w14:val="none"/>
              </w:rPr>
              <w:t>A autenticidade deste documento pode ser conferida no site </w:t>
            </w:r>
            <w:hyperlink r:id="rId8" w:tgtFrame="_blank" w:tooltip="Página de Autenticidade de Documentos" w:history="1">
              <w:r w:rsidRPr="002770A0">
                <w:rPr>
                  <w:rFonts w:ascii="Calibri" w:eastAsia="Times New Roman" w:hAnsi="Calibri" w:cs="Calibri"/>
                  <w:color w:val="0000FF"/>
                  <w:kern w:val="0"/>
                  <w:sz w:val="20"/>
                  <w:szCs w:val="20"/>
                  <w:u w:val="single"/>
                  <w:lang w:eastAsia="pt-BR"/>
                  <w14:ligatures w14:val="none"/>
                </w:rPr>
                <w:t>portal do SEI</w:t>
              </w:r>
            </w:hyperlink>
            <w:r w:rsidRPr="002770A0">
              <w:rPr>
                <w:rFonts w:ascii="Calibri" w:eastAsia="Times New Roman" w:hAnsi="Calibri" w:cs="Calibri"/>
                <w:kern w:val="0"/>
                <w:sz w:val="20"/>
                <w:szCs w:val="20"/>
                <w:lang w:eastAsia="pt-BR"/>
                <w14:ligatures w14:val="none"/>
              </w:rPr>
              <w:t>, informando o código verificador </w:t>
            </w:r>
            <w:r w:rsidRPr="002770A0">
              <w:rPr>
                <w:rFonts w:ascii="Calibri" w:eastAsia="Times New Roman" w:hAnsi="Calibri" w:cs="Calibri"/>
                <w:b/>
                <w:bCs/>
                <w:kern w:val="0"/>
                <w:sz w:val="20"/>
                <w:szCs w:val="20"/>
                <w:lang w:eastAsia="pt-BR"/>
                <w14:ligatures w14:val="none"/>
              </w:rPr>
              <w:t>0030071586</w:t>
            </w:r>
            <w:r w:rsidRPr="002770A0">
              <w:rPr>
                <w:rFonts w:ascii="Calibri" w:eastAsia="Times New Roman" w:hAnsi="Calibri" w:cs="Calibri"/>
                <w:kern w:val="0"/>
                <w:sz w:val="20"/>
                <w:szCs w:val="20"/>
                <w:lang w:eastAsia="pt-BR"/>
                <w14:ligatures w14:val="none"/>
              </w:rPr>
              <w:t> e o código CRC </w:t>
            </w:r>
            <w:r w:rsidRPr="002770A0">
              <w:rPr>
                <w:rFonts w:ascii="Calibri" w:eastAsia="Times New Roman" w:hAnsi="Calibri" w:cs="Calibri"/>
                <w:b/>
                <w:bCs/>
                <w:kern w:val="0"/>
                <w:sz w:val="20"/>
                <w:szCs w:val="20"/>
                <w:lang w:eastAsia="pt-BR"/>
                <w14:ligatures w14:val="none"/>
              </w:rPr>
              <w:t>E36EF9EC</w:t>
            </w:r>
            <w:r w:rsidRPr="002770A0">
              <w:rPr>
                <w:rFonts w:ascii="Calibri" w:eastAsia="Times New Roman" w:hAnsi="Calibri" w:cs="Calibri"/>
                <w:kern w:val="0"/>
                <w:sz w:val="20"/>
                <w:szCs w:val="20"/>
                <w:lang w:eastAsia="pt-BR"/>
                <w14:ligatures w14:val="none"/>
              </w:rPr>
              <w:t>.</w:t>
            </w:r>
          </w:p>
        </w:tc>
      </w:tr>
    </w:tbl>
    <w:p w14:paraId="5404499F" w14:textId="77777777" w:rsidR="00E73062" w:rsidRPr="002770A0" w:rsidRDefault="00E73062" w:rsidP="002770A0">
      <w:pPr>
        <w:tabs>
          <w:tab w:val="left" w:pos="3119"/>
        </w:tabs>
        <w:rPr>
          <w:rFonts w:ascii="Calibri" w:hAnsi="Calibri" w:cs="Calibri"/>
          <w:sz w:val="24"/>
          <w:szCs w:val="24"/>
        </w:rPr>
      </w:pPr>
    </w:p>
    <w:sectPr w:rsidR="00E73062" w:rsidRPr="002770A0" w:rsidSect="00F861E7">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70A0"/>
    <w:rsid w:val="002770A0"/>
    <w:rsid w:val="002F74CD"/>
    <w:rsid w:val="00B66767"/>
    <w:rsid w:val="00E73062"/>
    <w:rsid w:val="00F861E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CBB2C1"/>
  <w15:chartTrackingRefBased/>
  <w15:docId w15:val="{CFDD0187-C57D-4802-A8AE-94350243E2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2770A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2770A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2770A0"/>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2770A0"/>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2770A0"/>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2770A0"/>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2770A0"/>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2770A0"/>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2770A0"/>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2770A0"/>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2770A0"/>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2770A0"/>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2770A0"/>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2770A0"/>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2770A0"/>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2770A0"/>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2770A0"/>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2770A0"/>
    <w:rPr>
      <w:rFonts w:eastAsiaTheme="majorEastAsia" w:cstheme="majorBidi"/>
      <w:color w:val="272727" w:themeColor="text1" w:themeTint="D8"/>
    </w:rPr>
  </w:style>
  <w:style w:type="paragraph" w:styleId="Ttulo">
    <w:name w:val="Title"/>
    <w:basedOn w:val="Normal"/>
    <w:next w:val="Normal"/>
    <w:link w:val="TtuloChar"/>
    <w:uiPriority w:val="10"/>
    <w:qFormat/>
    <w:rsid w:val="002770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2770A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2770A0"/>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2770A0"/>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2770A0"/>
    <w:pPr>
      <w:spacing w:before="160"/>
      <w:jc w:val="center"/>
    </w:pPr>
    <w:rPr>
      <w:i/>
      <w:iCs/>
      <w:color w:val="404040" w:themeColor="text1" w:themeTint="BF"/>
    </w:rPr>
  </w:style>
  <w:style w:type="character" w:customStyle="1" w:styleId="CitaoChar">
    <w:name w:val="Citação Char"/>
    <w:basedOn w:val="Fontepargpadro"/>
    <w:link w:val="Citao"/>
    <w:uiPriority w:val="29"/>
    <w:rsid w:val="002770A0"/>
    <w:rPr>
      <w:i/>
      <w:iCs/>
      <w:color w:val="404040" w:themeColor="text1" w:themeTint="BF"/>
    </w:rPr>
  </w:style>
  <w:style w:type="paragraph" w:styleId="PargrafodaLista">
    <w:name w:val="List Paragraph"/>
    <w:basedOn w:val="Normal"/>
    <w:uiPriority w:val="34"/>
    <w:qFormat/>
    <w:rsid w:val="002770A0"/>
    <w:pPr>
      <w:ind w:left="720"/>
      <w:contextualSpacing/>
    </w:pPr>
  </w:style>
  <w:style w:type="character" w:styleId="nfaseIntensa">
    <w:name w:val="Intense Emphasis"/>
    <w:basedOn w:val="Fontepargpadro"/>
    <w:uiPriority w:val="21"/>
    <w:qFormat/>
    <w:rsid w:val="002770A0"/>
    <w:rPr>
      <w:i/>
      <w:iCs/>
      <w:color w:val="0F4761" w:themeColor="accent1" w:themeShade="BF"/>
    </w:rPr>
  </w:style>
  <w:style w:type="paragraph" w:styleId="CitaoIntensa">
    <w:name w:val="Intense Quote"/>
    <w:basedOn w:val="Normal"/>
    <w:next w:val="Normal"/>
    <w:link w:val="CitaoIntensaChar"/>
    <w:uiPriority w:val="30"/>
    <w:qFormat/>
    <w:rsid w:val="002770A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2770A0"/>
    <w:rPr>
      <w:i/>
      <w:iCs/>
      <w:color w:val="0F4761" w:themeColor="accent1" w:themeShade="BF"/>
    </w:rPr>
  </w:style>
  <w:style w:type="character" w:styleId="RefernciaIntensa">
    <w:name w:val="Intense Reference"/>
    <w:basedOn w:val="Fontepargpadro"/>
    <w:uiPriority w:val="32"/>
    <w:qFormat/>
    <w:rsid w:val="002770A0"/>
    <w:rPr>
      <w:b/>
      <w:bCs/>
      <w:smallCaps/>
      <w:color w:val="0F4761" w:themeColor="accent1" w:themeShade="BF"/>
      <w:spacing w:val="5"/>
    </w:rPr>
  </w:style>
  <w:style w:type="paragraph" w:styleId="NormalWeb">
    <w:name w:val="Normal (Web)"/>
    <w:basedOn w:val="Normal"/>
    <w:uiPriority w:val="99"/>
    <w:semiHidden/>
    <w:unhideWhenUsed/>
    <w:rsid w:val="002770A0"/>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newcentralizartexto">
    <w:name w:val="new_centralizar_texto"/>
    <w:basedOn w:val="Normal"/>
    <w:rsid w:val="002770A0"/>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newementa">
    <w:name w:val="new_ementa"/>
    <w:basedOn w:val="Normal"/>
    <w:rsid w:val="002770A0"/>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newtextojustificadorecprimeirlinhaespsimp">
    <w:name w:val="new_texto_justificado_rec_primeir_linha_esp_simp"/>
    <w:basedOn w:val="Normal"/>
    <w:rsid w:val="002770A0"/>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Forte">
    <w:name w:val="Strong"/>
    <w:basedOn w:val="Fontepargpadro"/>
    <w:uiPriority w:val="22"/>
    <w:qFormat/>
    <w:rsid w:val="002770A0"/>
    <w:rPr>
      <w:b/>
      <w:bCs/>
    </w:rPr>
  </w:style>
  <w:style w:type="paragraph" w:customStyle="1" w:styleId="newtabelatextocentralizado">
    <w:name w:val="new_tabela_texto_centralizado"/>
    <w:basedOn w:val="Normal"/>
    <w:rsid w:val="002770A0"/>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newtabelatextoalinhadoesquerda">
    <w:name w:val="new_tabela_texto_alinhado_esquerda"/>
    <w:basedOn w:val="Normal"/>
    <w:rsid w:val="002770A0"/>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Hyperlink">
    <w:name w:val="Hyperlink"/>
    <w:basedOn w:val="Fontepargpadro"/>
    <w:uiPriority w:val="99"/>
    <w:semiHidden/>
    <w:unhideWhenUsed/>
    <w:rsid w:val="002770A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02288660">
      <w:bodyDiv w:val="1"/>
      <w:marLeft w:val="0"/>
      <w:marRight w:val="0"/>
      <w:marTop w:val="0"/>
      <w:marBottom w:val="0"/>
      <w:divBdr>
        <w:top w:val="none" w:sz="0" w:space="0" w:color="auto"/>
        <w:left w:val="none" w:sz="0" w:space="0" w:color="auto"/>
        <w:bottom w:val="none" w:sz="0" w:space="0" w:color="auto"/>
        <w:right w:val="none" w:sz="0" w:space="0" w:color="auto"/>
      </w:divBdr>
      <w:divsChild>
        <w:div w:id="1456873712">
          <w:marLeft w:val="0"/>
          <w:marRight w:val="0"/>
          <w:marTop w:val="0"/>
          <w:marBottom w:val="0"/>
          <w:divBdr>
            <w:top w:val="single" w:sz="12" w:space="3" w:color="777777"/>
            <w:left w:val="single" w:sz="12" w:space="3" w:color="777777"/>
            <w:bottom w:val="single" w:sz="12" w:space="3" w:color="777777"/>
            <w:right w:val="single" w:sz="12" w:space="3" w:color="777777"/>
          </w:divBdr>
        </w:div>
        <w:div w:id="523174897">
          <w:marLeft w:val="0"/>
          <w:marRight w:val="0"/>
          <w:marTop w:val="0"/>
          <w:marBottom w:val="0"/>
          <w:divBdr>
            <w:top w:val="none" w:sz="0" w:space="0" w:color="auto"/>
            <w:left w:val="none" w:sz="0" w:space="0" w:color="auto"/>
            <w:bottom w:val="none" w:sz="0" w:space="0" w:color="auto"/>
            <w:right w:val="none" w:sz="0" w:space="0" w:color="auto"/>
          </w:divBdr>
        </w:div>
        <w:div w:id="1198085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i.sistemas.ro.gov.br/sei/controlador_externo.php?acao=documento_conferir&amp;id_orgao_acesso_externo=0" TargetMode="External"/><Relationship Id="rId3" Type="http://schemas.openxmlformats.org/officeDocument/2006/relationships/webSettings" Target="webSettings.xml"/><Relationship Id="rId7"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diof.ro.gov.br/data/uploads/2017/04/Doe-05_04_2017.pdf" TargetMode="External"/><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839</Words>
  <Characters>4531</Characters>
  <Application>Microsoft Office Word</Application>
  <DocSecurity>0</DocSecurity>
  <Lines>37</Lines>
  <Paragraphs>10</Paragraphs>
  <ScaleCrop>false</ScaleCrop>
  <Company/>
  <LinksUpToDate>false</LinksUpToDate>
  <CharactersWithSpaces>5360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Claudio Huther de Moraes</dc:creator>
  <cp:keywords/>
  <dc:description/>
  <cp:lastModifiedBy>Claudio Huther de Moraes</cp:lastModifiedBy>
  <cp:revision>1</cp:revision>
  <dcterms:created xsi:type="dcterms:W3CDTF">2024-01-29T12:38:00Z</dcterms:created>
  <dcterms:modified xsi:type="dcterms:W3CDTF">2024-01-29T12:43:00Z</dcterms:modified>
</cp:coreProperties>
</file>