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924CA3" w14:textId="6024E0A3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 </w:t>
      </w:r>
    </w:p>
    <w:p w14:paraId="58773EBD" w14:textId="553F49F8" w:rsidR="00CB2263" w:rsidRDefault="00CB2263" w:rsidP="00CB2263">
      <w:pPr>
        <w:spacing w:after="0"/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78058B2D" wp14:editId="39B43504">
            <wp:extent cx="1390908" cy="1068019"/>
            <wp:effectExtent l="0" t="0" r="0" b="0"/>
            <wp:docPr id="133826590" name="Imagem 11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826590" name="Imagem 11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6725" cy="1072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92EA79" w14:textId="01CAB465" w:rsidR="004E37F0" w:rsidRPr="004E37F0" w:rsidRDefault="004E37F0" w:rsidP="00CB2263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GOVERNO DO ESTADO DE RONDÔNIA</w:t>
      </w:r>
    </w:p>
    <w:p w14:paraId="7A39F4F4" w14:textId="77B0EE48" w:rsidR="004E37F0" w:rsidRPr="004E37F0" w:rsidRDefault="004E37F0" w:rsidP="00CB2263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Secretaria de Estado de Finanças - SEFIN</w:t>
      </w:r>
    </w:p>
    <w:p w14:paraId="1C771C0B" w14:textId="2D0301E9" w:rsidR="004E37F0" w:rsidRPr="004E37F0" w:rsidRDefault="004E37F0" w:rsidP="00CB2263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Gerência de Tributação - SEFIN-GETRI</w:t>
      </w:r>
      <w:r w:rsidRPr="004E37F0">
        <w:rPr>
          <w:rFonts w:ascii="Calibri" w:hAnsi="Calibri" w:cs="Calibri"/>
          <w:sz w:val="24"/>
          <w:szCs w:val="24"/>
        </w:rPr>
        <w:br/>
      </w:r>
    </w:p>
    <w:p w14:paraId="207B9EF3" w14:textId="77777777" w:rsidR="004E37F0" w:rsidRDefault="004E37F0" w:rsidP="00CB2263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Parecer nº 188/2022/SEFIN-GETRI</w:t>
      </w:r>
    </w:p>
    <w:p w14:paraId="4062AAC1" w14:textId="77777777" w:rsidR="00CB2263" w:rsidRDefault="00CB2263" w:rsidP="00CB2263">
      <w:pPr>
        <w:spacing w:after="0"/>
        <w:rPr>
          <w:rFonts w:ascii="Calibri" w:hAnsi="Calibri" w:cs="Calibri"/>
          <w:sz w:val="24"/>
          <w:szCs w:val="24"/>
        </w:rPr>
      </w:pPr>
    </w:p>
    <w:p w14:paraId="4F10BC6E" w14:textId="2A013223" w:rsidR="00CB2263" w:rsidRPr="004E37F0" w:rsidRDefault="00CB2263" w:rsidP="00CB2263">
      <w:pPr>
        <w:spacing w:after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Alterado pelo Parecer </w:t>
      </w:r>
      <w:r w:rsidRPr="00CB2263">
        <w:rPr>
          <w:rFonts w:ascii="Calibri" w:hAnsi="Calibri" w:cs="Calibri"/>
          <w:sz w:val="24"/>
          <w:szCs w:val="24"/>
        </w:rPr>
        <w:t>26/2024/SEFIN-GETRI</w:t>
      </w:r>
      <w:r>
        <w:rPr>
          <w:rFonts w:ascii="Calibri" w:hAnsi="Calibri" w:cs="Calibri"/>
          <w:sz w:val="24"/>
          <w:szCs w:val="24"/>
        </w:rPr>
        <w:t xml:space="preserve"> (</w:t>
      </w:r>
      <w:r w:rsidRPr="00CB2263">
        <w:rPr>
          <w:rFonts w:ascii="Calibri" w:hAnsi="Calibri" w:cs="Calibri"/>
          <w:sz w:val="24"/>
          <w:szCs w:val="24"/>
        </w:rPr>
        <w:t>0054708414</w:t>
      </w:r>
      <w:r>
        <w:rPr>
          <w:rFonts w:ascii="Calibri" w:hAnsi="Calibri" w:cs="Calibri"/>
          <w:sz w:val="24"/>
          <w:szCs w:val="24"/>
        </w:rPr>
        <w:t>)</w:t>
      </w:r>
    </w:p>
    <w:p w14:paraId="418D98A9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tbl>
      <w:tblPr>
        <w:tblW w:w="5000" w:type="pct"/>
        <w:jc w:val="center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69"/>
        <w:gridCol w:w="8787"/>
      </w:tblGrid>
      <w:tr w:rsidR="004E37F0" w:rsidRPr="004E37F0" w14:paraId="691DFEF0" w14:textId="77777777" w:rsidTr="004E37F0">
        <w:trPr>
          <w:tblCellSpacing w:w="7" w:type="dxa"/>
          <w:jc w:val="center"/>
        </w:trPr>
        <w:tc>
          <w:tcPr>
            <w:tcW w:w="9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650B3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b/>
                <w:bCs/>
                <w:sz w:val="24"/>
                <w:szCs w:val="24"/>
              </w:rPr>
              <w:t>Pedido:</w:t>
            </w:r>
          </w:p>
        </w:tc>
        <w:tc>
          <w:tcPr>
            <w:tcW w:w="40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2E3E8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0" w:name="__DdeLink__2366_32811255851"/>
            <w:bookmarkEnd w:id="0"/>
            <w:r w:rsidRPr="004E37F0">
              <w:rPr>
                <w:rFonts w:ascii="Calibri" w:hAnsi="Calibri" w:cs="Calibri"/>
                <w:b/>
                <w:bCs/>
                <w:sz w:val="24"/>
                <w:szCs w:val="24"/>
              </w:rPr>
              <w:t>Consulta Tributária referente ao início da cobrança do ICMS DIFAL com o advento da Lei Complementar 190/2022.</w:t>
            </w:r>
          </w:p>
        </w:tc>
      </w:tr>
      <w:tr w:rsidR="004E37F0" w:rsidRPr="004E37F0" w14:paraId="7094212F" w14:textId="77777777" w:rsidTr="004E37F0">
        <w:trPr>
          <w:tblCellSpacing w:w="7" w:type="dxa"/>
          <w:jc w:val="center"/>
        </w:trPr>
        <w:tc>
          <w:tcPr>
            <w:tcW w:w="9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A3E37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Consulente:</w:t>
            </w:r>
          </w:p>
        </w:tc>
        <w:tc>
          <w:tcPr>
            <w:tcW w:w="40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19593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Posto Fiscal Wilson Souto – PFWS</w:t>
            </w:r>
          </w:p>
        </w:tc>
      </w:tr>
    </w:tbl>
    <w:p w14:paraId="7DCA00C8" w14:textId="77777777" w:rsidR="004E37F0" w:rsidRPr="004E37F0" w:rsidRDefault="004E37F0" w:rsidP="008B3CB0">
      <w:pPr>
        <w:ind w:left="5103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i/>
          <w:iCs/>
          <w:sz w:val="24"/>
          <w:szCs w:val="24"/>
        </w:rPr>
        <w:t>EMENTA: Consulta Tributária. Respaldo legal e jurisprudencial que mantém a cobrança do ICMS DIFAL (Lei Complementar 190/2022) desde janeiro de 2022.</w:t>
      </w:r>
    </w:p>
    <w:p w14:paraId="498CEA79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3E0BFA80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6C95D278" w14:textId="50D3FC59" w:rsidR="004E37F0" w:rsidRPr="004E37F0" w:rsidRDefault="004E37F0" w:rsidP="008B3CB0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RELATÓRIO</w:t>
      </w:r>
    </w:p>
    <w:p w14:paraId="4AB83ADB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Trata-se de solicitação de manifestação, por meio do Memorando 36 (SEI nº 0024461626), no Processo SEI nº 0030.068928/2022-58, pelo Posto Fiscal Wilson Souto – PFWS, acerca do início da cobrança do ICMS DIFAL, tendo em vista a regulamentação promovida pela Lei Complementar 190/2022.</w:t>
      </w:r>
    </w:p>
    <w:p w14:paraId="18B6C7BE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Por meio do Relatório (0024461598), foi exposta preocupação acerca do momento da produção de efeitos da Lei complementar 190/2022, tendo em vista o disposto no § 4º do artigo 24-A da Lei Complementar 87/96, acrescido pela Lei Complementar 190/2022, o qual estipula prazo para produção de efeitos dos seguintes dispositivos: inciso II do § 2º do art. 4º, alínea “b” do inciso V do caput do art. 11 e inciso XVI do caput do art. 12 da Lei Complementar 87/96. Veja-se:</w:t>
      </w:r>
    </w:p>
    <w:p w14:paraId="371971E1" w14:textId="77777777" w:rsidR="004E37F0" w:rsidRPr="004E37F0" w:rsidRDefault="004E37F0" w:rsidP="00CB2263">
      <w:pPr>
        <w:ind w:left="709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b/>
          <w:bCs/>
          <w:sz w:val="20"/>
          <w:szCs w:val="20"/>
        </w:rPr>
        <w:t>Lei Complementar 87/1996</w:t>
      </w:r>
    </w:p>
    <w:p w14:paraId="6632A4DF" w14:textId="77777777" w:rsidR="004E37F0" w:rsidRPr="004E37F0" w:rsidRDefault="004E37F0" w:rsidP="00CB2263">
      <w:pPr>
        <w:ind w:left="709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Art. 24-A. Os Estados e o Distrito Federal divulgarão, em portal próprio, as informações necessárias ao cumprimento das obrigações tributárias, principais e acessórias, nas operações e prestações interestaduais, conforme o tipo. (Incluído pela Lei Complementar nº 190, de 2022) (Produção de efeitos)</w:t>
      </w:r>
    </w:p>
    <w:p w14:paraId="3FEBDA93" w14:textId="77777777" w:rsidR="004E37F0" w:rsidRPr="004E37F0" w:rsidRDefault="004E37F0" w:rsidP="00CB2263">
      <w:pPr>
        <w:ind w:left="709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(...)</w:t>
      </w:r>
    </w:p>
    <w:p w14:paraId="562D11E4" w14:textId="77777777" w:rsidR="004E37F0" w:rsidRPr="004E37F0" w:rsidRDefault="004E37F0" w:rsidP="00CB2263">
      <w:pPr>
        <w:ind w:left="709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§ 4º Para a adaptação tecnológica do contribuinte, o inciso II do § 2º do art. 4º, a alínea “b” do inciso V do caput do art. 11 e o inciso XVI do caput do art. 12 desta Lei Complementar somente produzirão efeito no primeiro dia útil do terceiro mês subsequente ao da disponibilização do portal de que trata o caput deste artigo. (Incluído pela Lei Complementar nº 190, de 2022) (Produção de efeitos)</w:t>
      </w:r>
    </w:p>
    <w:p w14:paraId="1A144587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Além disso, acrescenta que muitos remetentes de mercadorias, situados em outros estados, destinadas a consumidor final não contribuinte, localizados neste Estado, sujeitas ao DIFAL, estão se apoiando no princípio da anterioridade nonagesimal para não recolher o imposto.</w:t>
      </w:r>
    </w:p>
    <w:p w14:paraId="16BBFC86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lastRenderedPageBreak/>
        <w:t>Nesse sentido, ao final do Relatório, apresenta as seguintes indagações:</w:t>
      </w:r>
    </w:p>
    <w:p w14:paraId="44D36829" w14:textId="77777777" w:rsidR="004E37F0" w:rsidRPr="004E37F0" w:rsidRDefault="004E37F0" w:rsidP="00CB2263">
      <w:pPr>
        <w:ind w:left="714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i/>
          <w:iCs/>
          <w:sz w:val="20"/>
          <w:szCs w:val="20"/>
        </w:rPr>
        <w:t>Deve aguardar o transcurso do prazo previsto no § 4º, artigo 24-A, da Lei complementar 87/96 para exigir e cobrar o DIFAL?</w:t>
      </w:r>
    </w:p>
    <w:p w14:paraId="7D4FD1AB" w14:textId="77777777" w:rsidR="004E37F0" w:rsidRPr="004E37F0" w:rsidRDefault="004E37F0" w:rsidP="00CB2263">
      <w:pPr>
        <w:ind w:left="714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i/>
          <w:iCs/>
          <w:sz w:val="20"/>
          <w:szCs w:val="20"/>
        </w:rPr>
        <w:t>Ou sua cobrança, nos moldes em que vem sendo realizada pela fiscalização tributária, encontra respaldo legal e jurisprudencial desde janeiro de 2022?</w:t>
      </w:r>
    </w:p>
    <w:p w14:paraId="7A2B9915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É o relatório.</w:t>
      </w:r>
    </w:p>
    <w:p w14:paraId="759CC684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1A78BAF4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BREVE HISTÓRICO DA COBRANÇA DO DIFAL E SURGIMENTO DA LC 190/2022</w:t>
      </w:r>
    </w:p>
    <w:p w14:paraId="24A8E601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Antes da Emenda Constitucional 87/2015, só havia a cobrança do diferencial de alíquotas do ICMS nas operações e prestações que destinassem bens e serviços a consumidor final contribuinte localizado em outro Estado. As operações destinadas a consumidor final não contribuinte, internas ou interestaduais, eram tributadas como se fossem operações internas.</w:t>
      </w:r>
    </w:p>
    <w:p w14:paraId="7E8C7326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Por exemplo, se um consumidor final não contribuinte localizado em Rondônia adquirisse uma mercadoria remetida por um contribuinte do Estado de São Paulo, o ICMS devido seria equivalente à alíquota interna paulista, de 18% (dezoito por cento), aplicada sobre o valor total da operação e o imposto seria recolhido integralmente para o Estado de São Paulo.</w:t>
      </w:r>
    </w:p>
    <w:p w14:paraId="6D2A813F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Então a Emenda Constitucional 87/2015 alterou o art. 155, §2º, VII e VIII da Constituição Federal e determinou a cobrança do diferencial de alíquotas do ICMS também nas operações e prestações que destinem bens e serviços a consumidor final não contribuinte do imposto, localizado em outro Estado.</w:t>
      </w:r>
    </w:p>
    <w:p w14:paraId="12AD4540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Ressalte-se que </w:t>
      </w:r>
      <w:r w:rsidRPr="004E37F0">
        <w:rPr>
          <w:rFonts w:ascii="Calibri" w:hAnsi="Calibri" w:cs="Calibri"/>
          <w:b/>
          <w:bCs/>
          <w:sz w:val="24"/>
          <w:szCs w:val="24"/>
        </w:rPr>
        <w:t>a EC 87/2015 apenas alterou a repartição de receitas. Não houve criação de tributo ou alteração da hipótese de incidência. Ademais, as normas alteradas por essa emenda são de eficácia plena e de aplicação imediata</w:t>
      </w:r>
      <w:r w:rsidRPr="004E37F0">
        <w:rPr>
          <w:rFonts w:ascii="Calibri" w:hAnsi="Calibri" w:cs="Calibri"/>
          <w:sz w:val="24"/>
          <w:szCs w:val="24"/>
        </w:rPr>
        <w:t>. Assim, seria desnecessária a edição de lei complementar para regulamentar o tema.</w:t>
      </w:r>
    </w:p>
    <w:p w14:paraId="1C46695D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Por sua vez, o Convênio ICMS nº 93/2015 dispôs sobre os procedimentos a serem observados nas operações e prestações que destinem bens e serviços a consumidor final não contribuinte do ICMS localizado em outra unidade federada, dadas as modificações introduzidas pela mencionada EC 87/2015.</w:t>
      </w:r>
    </w:p>
    <w:p w14:paraId="5444E8B4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Tal convênio prestou-se a regulamentar o art. 155, §2º, VII e VIII da Constituição Federal. Foi justamente por cumprir este papel regulamentador que essa norma sofreu inúmeras contestações nas vias administrativas e judiciais, sendo as mais relevantes ocorridas por meio de Ações Diretas de Inconstitucionalidade.</w:t>
      </w:r>
    </w:p>
    <w:p w14:paraId="72A02C03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Vale ressaltar, todavia, que, em relação à cobrança do diferencial de alíquotas do ICMS, o Convênio ICMS nº 93/2015 apenas repetiu o disposto no art. 155, § 2º, VII, a e b, da Constituição.</w:t>
      </w:r>
    </w:p>
    <w:p w14:paraId="05C55B24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 cláusula 9ª do mencionado Convênio ICMS nº 93/2015 encontra-se suspensa desde fevereiro de 2016, quando foi deferida medida cautelar na ADI 5469. Desde esta data, os fiscos estaduais ficaram impedidos de cobrar o DIFAL caso o estabelecimento remetente seja optante do regime do Simples Nacional.</w:t>
      </w:r>
    </w:p>
    <w:p w14:paraId="7F4624DA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Nesse ínterim, os estados continuaram a cobrar o DIFAL normalmente, fazendo valer as alterações promovidas pela Emenda Constitucional nº 87, de 2015.</w:t>
      </w:r>
    </w:p>
    <w:p w14:paraId="4100C8EA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Posteriormente, em 24 fevereiro de 2021, o STF julgou procedente a ADI nº 5469, declarando a inconstitucionalidade formal das cláusulas 1ª, 2ª, 3ª, 6ª e 9ª do Convênio ICMS 93/2015. Assim, com o julgamento final da ADI, os estados ficam impedidos de cobrar, a partir de 2022, o DIFAL nos termos da EC 87/2015. Veja-se a ementa de julgamento da ADI nº 5469, com destaque para os principais trechos:</w:t>
      </w:r>
    </w:p>
    <w:p w14:paraId="56288D73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 xml:space="preserve">EMENTA Recurso extraordinário. Repercussão geral. Direito tributário. Emenda Constitucional nº 87/2015. ICMS. Operações e prestações em que haja a destinação de bens e serviços a consumidor final não contribuinte do ICMS localizado em estado distinto daquele do remetente. Inovação constitucional. Matéria reservada a lei complementar (art. 146, I e III, a e b; e art. 155, § 2º, XII, a, b, c, d e i, da CF/88). Cláusulas primeira, segunda, terceira e sexta do Convênio ICMS nº 93/15. Inconstitucionalidade. </w:t>
      </w:r>
      <w:r w:rsidRPr="004E37F0">
        <w:rPr>
          <w:rFonts w:ascii="Calibri" w:hAnsi="Calibri" w:cs="Calibri"/>
          <w:sz w:val="20"/>
          <w:szCs w:val="20"/>
        </w:rPr>
        <w:lastRenderedPageBreak/>
        <w:t xml:space="preserve">Tratamento tributário diferenciado e favorecido destinado a microempresas e empresas de pequeno porte. Simples Nacional. Matéria reservada a lei complementar (art. 146, III, d, e parágrafo único, da CF/88). Cláusula nona do Convênio ICMS nº 93/15. Inconstitucionalidade. 1. A EC nº 87/15 </w:t>
      </w:r>
      <w:proofErr w:type="gramStart"/>
      <w:r w:rsidRPr="004E37F0">
        <w:rPr>
          <w:rFonts w:ascii="Calibri" w:hAnsi="Calibri" w:cs="Calibri"/>
          <w:sz w:val="20"/>
          <w:szCs w:val="20"/>
        </w:rPr>
        <w:t>criou nova</w:t>
      </w:r>
      <w:proofErr w:type="gramEnd"/>
      <w:r w:rsidRPr="004E37F0">
        <w:rPr>
          <w:rFonts w:ascii="Calibri" w:hAnsi="Calibri" w:cs="Calibri"/>
          <w:sz w:val="20"/>
          <w:szCs w:val="20"/>
        </w:rPr>
        <w:t xml:space="preserve"> relação jurídico-tributária entre o remetente do bem ou serviço (contribuinte) e o estado de destino nas operações com bens e serviços destinados a consumidor final não contribuinte do ICMS. O imposto incidente nessas operações e prestações, que antes era devido totalmente ao estado de origem, passou a ser dividido entre dois sujeitos ativos, cabendo ao estado de origem o ICMS calculado com base na alíquota interestadual e ao estado de destino, o diferencial entre a alíquota interestadual e sua alíquota interna. 2</w:t>
      </w:r>
      <w:r w:rsidRPr="004E37F0">
        <w:rPr>
          <w:rFonts w:ascii="Calibri" w:hAnsi="Calibri" w:cs="Calibri"/>
          <w:sz w:val="20"/>
          <w:szCs w:val="20"/>
          <w:u w:val="single"/>
        </w:rPr>
        <w:t>. Convênio interestadual não pode suprir a ausência de lei complementar dispondo sobre obrigação tributária, contribuintes, bases de cálculo/alíquotas e créditos de ICMS</w:t>
      </w:r>
      <w:r w:rsidRPr="004E37F0">
        <w:rPr>
          <w:rFonts w:ascii="Calibri" w:hAnsi="Calibri" w:cs="Calibri"/>
          <w:sz w:val="20"/>
          <w:szCs w:val="20"/>
        </w:rPr>
        <w:t> nas operações ou prestações interestaduais com consumidor final não contribuinte do imposto, como fizeram as cláusulas primeira, segunda, terceira e sexta do Convênio ICMS nº 93/15. 3. A cláusula nona do Convênio ICMS nº 93/15, ao determinar a extensão da sistemática da EC nº 87/2015 aos optantes do Simples Nacional, adentra no campo material de incidência da LC nº 123/06, que estabelece normas gerais relativas ao tratamento diferenciado e favorecido a ser dispensado às microempresas e às empresas de pequeno porte, à luz do art. 146, inciso III, d, e parágrafo único, da Constituição Federal. 4. Tese fixada para o </w:t>
      </w:r>
      <w:r w:rsidRPr="004E37F0">
        <w:rPr>
          <w:rFonts w:ascii="Calibri" w:hAnsi="Calibri" w:cs="Calibri"/>
          <w:b/>
          <w:bCs/>
          <w:sz w:val="20"/>
          <w:szCs w:val="20"/>
          <w:u w:val="single"/>
        </w:rPr>
        <w:t>Tema nº 1.093: “A cobrança do diferencial de alíquota alusivo ao ICMS, conforme introduzido pela Emenda Constitucional nº 87/2015, pressupõe edição de lei complementar veiculando normas gerais”</w:t>
      </w:r>
      <w:r w:rsidRPr="004E37F0">
        <w:rPr>
          <w:rFonts w:ascii="Calibri" w:hAnsi="Calibri" w:cs="Calibri"/>
          <w:sz w:val="20"/>
          <w:szCs w:val="20"/>
        </w:rPr>
        <w:t>. 5. Recurso extraordinário provido, assentando-se a invalidade da cobrança do diferencial de alíquota do ICMS, na forma do Convênio nº 93/1, em operação interestadual envolvendo mercadoria destinada a consumidor final não contribuinte. 6. </w:t>
      </w:r>
      <w:r w:rsidRPr="004E37F0">
        <w:rPr>
          <w:rFonts w:ascii="Calibri" w:hAnsi="Calibri" w:cs="Calibri"/>
          <w:b/>
          <w:bCs/>
          <w:sz w:val="20"/>
          <w:szCs w:val="20"/>
        </w:rPr>
        <w:t>Modulação dos efeitos da declaração de inconstitucionalidade das cláusulas primeira, segunda, terceira, sexta e nona do convênio questionado, de modo que a decisão produza efeitos, quanto à cláusula nona, desde a data da concessão da medida cautelar nos autos da ADI nº 5.464/DF e, quanto às cláusulas primeira, segunda, terceira e sexta, a partir do exercício financeiro seguinte à conclusão deste julgamento (2022), aplicando-se a mesma solução em relação às respectivas leis dos estados e do Distrito Federal</w:t>
      </w:r>
      <w:r w:rsidRPr="004E37F0">
        <w:rPr>
          <w:rFonts w:ascii="Calibri" w:hAnsi="Calibri" w:cs="Calibri"/>
          <w:sz w:val="20"/>
          <w:szCs w:val="20"/>
        </w:rPr>
        <w:t>, para as quais a decisão deverá produzir efeitos a partir do exercício financeiro seguinte à conclusão deste julgamento (2022), exceto no que diz respeito às normas legais que versarem sobre a cláusula nona do Convênio ICMS nº 93/15, cujos efeitos deverão retroagir à data da concessão da medida cautelar nos autos da ADI nº 5.464/DF</w:t>
      </w:r>
      <w:r w:rsidRPr="004E37F0">
        <w:rPr>
          <w:rFonts w:ascii="Calibri" w:hAnsi="Calibri" w:cs="Calibri"/>
          <w:b/>
          <w:bCs/>
          <w:sz w:val="20"/>
          <w:szCs w:val="20"/>
        </w:rPr>
        <w:t>. Ficam ressalvadas da modulação as ações judiciais em curso</w:t>
      </w:r>
      <w:r w:rsidRPr="004E37F0">
        <w:rPr>
          <w:rFonts w:ascii="Calibri" w:hAnsi="Calibri" w:cs="Calibri"/>
          <w:sz w:val="20"/>
          <w:szCs w:val="20"/>
        </w:rPr>
        <w:t>. (RE 1287019, Relator(a): MARCO AURÉLIO, Relator(a) p/ Acórdão: DIAS TOFFOLI, Tribunal Pleno, julgado em 24/02/2021, PROCESSO ELETRÔNICO REPERCUSSÃO GERAL - MÉRITO DJe-099 DIVULG 24-05-2021 PUBLIC 25-05-2021)</w:t>
      </w:r>
    </w:p>
    <w:p w14:paraId="6CC769D0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Em relação às alterações introduzidas pela Emenda Constitucional nº 87/2015, o STF declarou inconstitucional a cobrança do DIFAL enquanto não houver a edição de lei complementar para disciplinar essa matéria.</w:t>
      </w:r>
    </w:p>
    <w:p w14:paraId="39334620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Em suma, aquele insigne Tribunal concluiu que um convênio do Confaz não pode regulamentar matéria reservada à lei complementar federal. A exigência de lei complementar seria consequência do disposto nos art. 146, III, "a" e art. 155, §2º, XII, "d" da Constituição Federal.</w:t>
      </w:r>
    </w:p>
    <w:p w14:paraId="7F161350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Com o julgamento do mérito da ADI nº 5469, pôde-se afirmar que, a partir de 2022 (dada a modulação de efeitos da decisão), os estados não poderiam cobrar o DIFAL previsto na EC nº 87/2015 sem que houvesse lei complementar regulamentando tal matéria.</w:t>
      </w:r>
    </w:p>
    <w:p w14:paraId="0CEFCE2A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 Lei Complementar nº 190/2022 finalmente surgiu para regulamentar a cobrança do DIFAL, tendo sido promulgada em 04 de janeiro de 2022 e publicada no DOU de 05/01/2022.</w:t>
      </w:r>
    </w:p>
    <w:p w14:paraId="66C4DC86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294CF485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A LEI COMPLEMENTAR Nº 190/2022 NÃO ALTERA A SISTEMÁTICA DO ICMS-DIFAL</w:t>
      </w:r>
    </w:p>
    <w:p w14:paraId="084D651E" w14:textId="56D8BB53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Primeiramente, é relevante esclarecer que a LC 190/2022 não provocou alterações significativas na sistemática da cobrança do DIFAL. Em suma, mantém-se a cobrança tal qual vem sendo feita desde 2016, após o advento da EC nº 87/2015.</w:t>
      </w:r>
    </w:p>
    <w:p w14:paraId="1C2CD85D" w14:textId="53974C9F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 xml:space="preserve">A LC 190/2022 apenas regulamentou a repartição do ICMS-DIFAL entre os Estados envolvidos na operação. Não </w:t>
      </w:r>
      <w:proofErr w:type="gramStart"/>
      <w:r w:rsidRPr="004E37F0">
        <w:rPr>
          <w:rFonts w:ascii="Calibri" w:hAnsi="Calibri" w:cs="Calibri"/>
          <w:sz w:val="24"/>
          <w:szCs w:val="24"/>
        </w:rPr>
        <w:t>criou novas</w:t>
      </w:r>
      <w:proofErr w:type="gramEnd"/>
      <w:r w:rsidRPr="004E37F0">
        <w:rPr>
          <w:rFonts w:ascii="Calibri" w:hAnsi="Calibri" w:cs="Calibri"/>
          <w:sz w:val="24"/>
          <w:szCs w:val="24"/>
        </w:rPr>
        <w:t xml:space="preserve"> hipóteses de incidência tampouco majorou o imposto devido.</w:t>
      </w:r>
    </w:p>
    <w:p w14:paraId="7F751E8E" w14:textId="6E63580F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Por isso, argumenta-se pela não aplicabilidade dos princípios da anterioridade, possibilitando-se a continuidade da cobrança do ICMS-DIFAL, conforme exposto a seguir.</w:t>
      </w:r>
    </w:p>
    <w:p w14:paraId="4B222552" w14:textId="77777777" w:rsid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5E1BDDC2" w14:textId="77777777" w:rsidR="00CB2263" w:rsidRPr="004E37F0" w:rsidRDefault="00CB2263" w:rsidP="004E37F0">
      <w:pPr>
        <w:jc w:val="both"/>
        <w:rPr>
          <w:rFonts w:ascii="Calibri" w:hAnsi="Calibri" w:cs="Calibri"/>
          <w:sz w:val="24"/>
          <w:szCs w:val="24"/>
        </w:rPr>
      </w:pPr>
    </w:p>
    <w:p w14:paraId="77FE9ED1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lastRenderedPageBreak/>
        <w:t>NÃO APLICABILIDADE DOS PRINCÍPIOS DA ANTERIORIDADE ANUAL E NONAGESIMAL</w:t>
      </w:r>
    </w:p>
    <w:p w14:paraId="7E1FA491" w14:textId="6E1752AF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De início, importante mencionar que não há diferença na carga tributária total do ICMS antes e após a EC nº 87/2015. Também não há qualquer alteração da carga tributária com o advento da LC 190/2022.</w:t>
      </w:r>
    </w:p>
    <w:p w14:paraId="1EF95D91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 bem da verdade, houve apenas uma modificação no sujeito ativo da obrigação tributária. Antes, o sujeito ativo era apenas o estado de origem. Com as modificações introduzidas, o estado de origem é sujeito ativo somente do ICMS calculado com base na alíquota interestadual, enquanto surge como novo sujeito ativo o estado de destino quanto ao imposto devido pela diferença entre a alíquota interna e a interestadual.</w:t>
      </w:r>
    </w:p>
    <w:p w14:paraId="5F874623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Agora, destaca-se o art. 3º da LC 190/2022:</w:t>
      </w:r>
    </w:p>
    <w:p w14:paraId="639A8AF9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Art. 3º Esta Lei Complementar entra em vigor na data de sua publicação, observado, quanto à produção de efeitos, o disposto na alínea “c” do inciso III do caput do art. 150 da Constituição Federal.</w:t>
      </w:r>
    </w:p>
    <w:p w14:paraId="3AD25FA1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Ocorre que esta lei complementar não institui ou aumenta tributos, portanto, não faz sentido que ela deva respeitar a anterioridade nonagesimal prevista. A LC 190/2020 se presta a estabelecer normas de caráter geral, não representando qualquer ameaça à segurança jurídica de modo a demandar obediência aos princípios da anterioridade, seja a anual ou a nonagesimal.</w:t>
      </w:r>
    </w:p>
    <w:p w14:paraId="33AB6FEB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Inclusive, nos autos da ADI I 7066, sustenta-se a inconstitucionalidade deste artigo sob o argumento de que a LC 190/2022, ao determinar a postergação dos efeitos da cobrança do DIFAL, estaria violando o pacto federativo por impedir que os estados exerçam sua competência tributária na plenitude.</w:t>
      </w:r>
    </w:p>
    <w:p w14:paraId="52F14856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Além disso, argumenta-se que o art. 3º da LC 190/2022 padece de inconstitucionalidade formal por tratar das limitações constitucionais ao poder de tributar, o que representa ingerência na competência da Constituição Federal. Ressalve-se que esse argumento se aplica para o caso de se entender que tal artigo é direcionado às leis estaduais, uma vez que a lei complementar, em razão de estabelecer apenas normas gerais, não poderia se submeter às anterioridades anual e nonagesimal.</w:t>
      </w:r>
    </w:p>
    <w:p w14:paraId="0D70ED67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Ao postergar a eficácia ou a validade da lei para 90 dias após a sua publicação, estaria a lei extrapolando os limites constitucionais da competência regulamentar federal, que deve se limitar à edição de normais gerais.</w:t>
      </w:r>
    </w:p>
    <w:p w14:paraId="405039F2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Especificamente quanto à anterioridade anual, é sabido que visa dar estabilidade às relações jurídicas, evitando a surpresa do contribuinte com a instituição ou aumento de tributo no mesmo exercício financeiro.</w:t>
      </w:r>
    </w:p>
    <w:p w14:paraId="60CBD539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Não há razão para se aplicar a anterioridade anual no presente caso da LC 190/2022, pois </w:t>
      </w:r>
      <w:r w:rsidRPr="004E37F0">
        <w:rPr>
          <w:rFonts w:ascii="Calibri" w:hAnsi="Calibri" w:cs="Calibri"/>
          <w:b/>
          <w:bCs/>
          <w:sz w:val="24"/>
          <w:szCs w:val="24"/>
        </w:rPr>
        <w:t>o DIFAL vem sendo cobrado e repartido entre os estados de origem e de destino desde 2016, logo não há surpresa para os contribuintes</w:t>
      </w:r>
      <w:r w:rsidRPr="004E37F0">
        <w:rPr>
          <w:rFonts w:ascii="Calibri" w:hAnsi="Calibri" w:cs="Calibri"/>
          <w:sz w:val="24"/>
          <w:szCs w:val="24"/>
        </w:rPr>
        <w:t>.</w:t>
      </w:r>
    </w:p>
    <w:p w14:paraId="06BFE385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Repise-se: não houve instituição ou majoração de tributo, mas sim a regulamentação da repartição do DIFAL previsto na Constituição Federal entre as Unidades Federadas de origem e de destino.</w:t>
      </w:r>
    </w:p>
    <w:p w14:paraId="0A8829CE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Uma vez que não há qualquer surpresa na exigência do DIFAL e que a LC 190/2022 não institui ou majora tributo, não modifica a hipótese de incidência nem aumenta a carga tributária, não há razão para a aplicação dos princípios da anterioridade do exercício ou da nonagesimal.</w:t>
      </w:r>
    </w:p>
    <w:p w14:paraId="24B87810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O próprio constituinte entendeu que a EC 87/2015 não trouxe alterações capazes de demandar a aplicação dos princípios da anterioridade, uma vez que determinou que a repartição do DIFAL começasse já no ano de 2015, conforme demonstrado a seguir:</w:t>
      </w:r>
    </w:p>
    <w:p w14:paraId="53E2C871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ADCT - Art. 99. Para efeito do disposto no inciso VII do § 2º do art. 155, no caso de operações e prestações que destinem bens e serviços a consumidor final não contribuinte localizado em outro Estado, o imposto correspondente à diferença entre a alíquota interna e a interestadual será partilhado entre os Estados de origem e de destino, na seguinte proporção:</w:t>
      </w:r>
    </w:p>
    <w:p w14:paraId="3E306D98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 xml:space="preserve">I - </w:t>
      </w:r>
      <w:proofErr w:type="gramStart"/>
      <w:r w:rsidRPr="004E37F0">
        <w:rPr>
          <w:rFonts w:ascii="Calibri" w:hAnsi="Calibri" w:cs="Calibri"/>
          <w:sz w:val="20"/>
          <w:szCs w:val="20"/>
        </w:rPr>
        <w:t>para</w:t>
      </w:r>
      <w:proofErr w:type="gramEnd"/>
      <w:r w:rsidRPr="004E37F0">
        <w:rPr>
          <w:rFonts w:ascii="Calibri" w:hAnsi="Calibri" w:cs="Calibri"/>
          <w:sz w:val="20"/>
          <w:szCs w:val="20"/>
        </w:rPr>
        <w:t xml:space="preserve"> o ano de 2015: 20% (vinte por cento) para o Estado de destino e 80% (oitenta por cento) para o Estado de origem; (...)</w:t>
      </w:r>
    </w:p>
    <w:p w14:paraId="62E93230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lastRenderedPageBreak/>
        <w:t>Também não há que se aplicar a anterioridade na suposta modificação da base de cálculo. O motivo é que a forma de calcular "por dentro" está determinada na Constituição Federal desde a EC nº 33/2001, senão veja-se:</w:t>
      </w:r>
    </w:p>
    <w:p w14:paraId="273750B4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Art. 155. Compete aos Estados e ao Distrito Federal instituir impostos sobre: (...)</w:t>
      </w:r>
    </w:p>
    <w:p w14:paraId="101FC723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XII - cabe à lei complementar: (...)</w:t>
      </w:r>
    </w:p>
    <w:p w14:paraId="2E27309B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i) fixar a base de cálculo, de modo que o montante do imposto a integre, também na importação do exterior de bem, mercadoria ou serviço.</w:t>
      </w:r>
    </w:p>
    <w:p w14:paraId="30806833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Argumente-se também que </w:t>
      </w:r>
      <w:r w:rsidRPr="004E37F0">
        <w:rPr>
          <w:rFonts w:ascii="Calibri" w:hAnsi="Calibri" w:cs="Calibri"/>
          <w:b/>
          <w:bCs/>
          <w:sz w:val="24"/>
          <w:szCs w:val="24"/>
        </w:rPr>
        <w:t>as leis estaduais editadas antes da LC 190/2022 e que dispõem sobre a cobrança do DIFAL, estando em conformidade com a EC 87/2015, são válidas, mas apenas não podem produzir efeitos a partir de 01/01/2022 (dada a modulação de efeitos pelo STF)</w:t>
      </w:r>
      <w:r w:rsidRPr="004E37F0">
        <w:rPr>
          <w:rFonts w:ascii="Calibri" w:hAnsi="Calibri" w:cs="Calibri"/>
          <w:sz w:val="24"/>
          <w:szCs w:val="24"/>
        </w:rPr>
        <w:t>.</w:t>
      </w:r>
    </w:p>
    <w:p w14:paraId="492A47B7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Todavia, com a vigência da LC 190/2022, a partir de 05 de janeiro de 2022, as leis estaduais voltaram a produzir efeito e a cobrança do DIFAL se torna legal</w:t>
      </w:r>
      <w:r w:rsidRPr="004E37F0">
        <w:rPr>
          <w:rFonts w:ascii="Calibri" w:hAnsi="Calibri" w:cs="Calibri"/>
          <w:sz w:val="24"/>
          <w:szCs w:val="24"/>
        </w:rPr>
        <w:t>. Assim, as leis estaduais não seriam inconstitucionais, apenas não teriam eficácia antes da vigência da LC 190/2022. Esta lei complementar, portanto, seria necessária apenas para dar eficácia, mas não conferir validade constitucional ou para a vigência das leis estaduais que instituem o DIFAL.</w:t>
      </w:r>
    </w:p>
    <w:p w14:paraId="760E137D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Por outro lado, a aplicação da anterioridade para toda sistemática de cobrança do DIFAL violaria os princípios da não diferenciação e da isonomia tributária. Por isso, no caso concreto em comento, a anterioridade pode e deve ser mitigada. Explica-se.</w:t>
      </w:r>
    </w:p>
    <w:p w14:paraId="150EA4B7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6DD1AF29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COLISÃO ENTRE OS PRINCÍPIOS DA ANTERIORIDADE E DA NÃO DIFERENCIAÇÃO TRIBUTÁRIA (art. 152, CF)</w:t>
      </w:r>
    </w:p>
    <w:p w14:paraId="203997F4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De início, vale lembrar que </w:t>
      </w:r>
      <w:r w:rsidRPr="004E37F0">
        <w:rPr>
          <w:rFonts w:ascii="Calibri" w:hAnsi="Calibri" w:cs="Calibri"/>
          <w:b/>
          <w:bCs/>
          <w:sz w:val="24"/>
          <w:szCs w:val="24"/>
          <w:u w:val="single"/>
        </w:rPr>
        <w:t>não há princípios absolutos</w:t>
      </w:r>
      <w:r w:rsidRPr="004E37F0">
        <w:rPr>
          <w:rFonts w:ascii="Calibri" w:hAnsi="Calibri" w:cs="Calibri"/>
          <w:sz w:val="24"/>
          <w:szCs w:val="24"/>
        </w:rPr>
        <w:t> ou que sejam capazes de sempre preponderar sobre outro princípio sem que se analise as circunstâncias do caso concreto.</w:t>
      </w:r>
    </w:p>
    <w:p w14:paraId="5C874062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Se o DIFAL não for cobrado nas operações interestaduais, haverá inevitável violação ao princípio da não diferenciação tributária. Este princípio veda aos Estados estabelecer diferença tributária entre bens e serviços, de qualquer natureza, em razão de sua </w:t>
      </w:r>
      <w:r w:rsidRPr="004E37F0">
        <w:rPr>
          <w:rFonts w:ascii="Calibri" w:hAnsi="Calibri" w:cs="Calibri"/>
          <w:b/>
          <w:bCs/>
          <w:sz w:val="24"/>
          <w:szCs w:val="24"/>
          <w:u w:val="single"/>
        </w:rPr>
        <w:t>procedência</w:t>
      </w:r>
      <w:r w:rsidRPr="004E37F0">
        <w:rPr>
          <w:rFonts w:ascii="Calibri" w:hAnsi="Calibri" w:cs="Calibri"/>
          <w:b/>
          <w:bCs/>
          <w:sz w:val="24"/>
          <w:szCs w:val="24"/>
        </w:rPr>
        <w:t> ou destino.</w:t>
      </w:r>
    </w:p>
    <w:p w14:paraId="4BBDDA26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Desde o início de 2016, nas operações interestaduais com destino a consumidor final (contribuinte ou não), o estado de origem fica com a alíquota interestadual e ao estado de destino cabe a diferença entre sua alíquota interna e a interestadual.</w:t>
      </w:r>
    </w:p>
    <w:p w14:paraId="4D66C8E2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Se o DIFAL deixar de ser cobrado, por qualquer prazo, haverá grave distorção na tributação, uma vez que somente as operações internas destinadas a consumidor final não contribuinte serão tributadas com a alíquota interna (mais elevada) do estado de origem. Porém, se essas operações (destinadas a consumidor final não contribuinte) forem interestaduais, será aplicada apenas a alíquota interestadual, o que representa uma tributação diferenciada em razão da procedência.</w:t>
      </w:r>
    </w:p>
    <w:p w14:paraId="7B356136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Só as saídas internas serão tributadas de forma mais gravosa. Assim, pode-se afirmar que haverá uma diferença na tributação em razão de sua procedência (se interna ou de fora do estado).</w:t>
      </w:r>
    </w:p>
    <w:p w14:paraId="49DF5006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170DD651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IMPACTOS NA LOGÍSTICA E NO MEIO AMBIENTE E A CRIAÇÃO DE FILIAIS PARA EVITAR A ALÍQUOTA INTERNA</w:t>
      </w:r>
    </w:p>
    <w:p w14:paraId="08E396A1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Deixar de cobrar o DIFAL causaria também impacto na logística dos contribuintes, uma vez que forçaria operações interestaduais em detrimento das operações internas, o que implica em aumento da transferência interestadual de mercadorias.</w:t>
      </w:r>
    </w:p>
    <w:p w14:paraId="1E16509E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lastRenderedPageBreak/>
        <w:t>Um dos princípios da ordem econômica explícitos na Constituição é a defesa do meio ambiente (art. 170, VI, CF). Ocorre que uma consequência lógica desse aumento de operações interestaduais será o aumento do trânsito de veículos de carga e, portanto, da emissão de poluentes.</w:t>
      </w:r>
    </w:p>
    <w:p w14:paraId="591F84BB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Outra situação indesejada será a criação de filiais espalhadas nos estados com o objetivo de, numa venda a consumidor final não contribuinte, dar saída interestadual ao consumidor em vez de saída interna, mesmo que o contribuinte remetente possua filial no estado do consumidor, o que irá gerar ainda mais perda de arrecadação.</w:t>
      </w:r>
    </w:p>
    <w:p w14:paraId="2933D0C7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43DD29C6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VIOLAÇÃO DA ISONOMIA TRIBUTÁRIA EM RAZÃO DA LOCALIZAÇÃO DO ESTABELECIMENTO REMETENTE</w:t>
      </w:r>
    </w:p>
    <w:p w14:paraId="169875B6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 não cobrança do DIFAL em razão da anterioridade violaria também a isonomia tributária, uma vez que os </w:t>
      </w:r>
      <w:r w:rsidRPr="004E37F0">
        <w:rPr>
          <w:rFonts w:ascii="Calibri" w:hAnsi="Calibri" w:cs="Calibri"/>
          <w:sz w:val="24"/>
          <w:szCs w:val="24"/>
          <w:u w:val="single"/>
        </w:rPr>
        <w:t>contribuintes que se encontrem em situação equivalente</w:t>
      </w:r>
      <w:r w:rsidRPr="004E37F0">
        <w:rPr>
          <w:rFonts w:ascii="Calibri" w:hAnsi="Calibri" w:cs="Calibri"/>
          <w:sz w:val="24"/>
          <w:szCs w:val="24"/>
        </w:rPr>
        <w:t> (exemplo: duas empresas vendendo o mesmo produto para consumidor final não contribuinte) seriam </w:t>
      </w:r>
      <w:r w:rsidRPr="004E37F0">
        <w:rPr>
          <w:rFonts w:ascii="Calibri" w:hAnsi="Calibri" w:cs="Calibri"/>
          <w:sz w:val="24"/>
          <w:szCs w:val="24"/>
          <w:u w:val="single"/>
        </w:rPr>
        <w:t>tributados de forma diferenciada meramente em razão da localização do estabelecimento</w:t>
      </w:r>
      <w:r w:rsidRPr="004E37F0">
        <w:rPr>
          <w:rFonts w:ascii="Calibri" w:hAnsi="Calibri" w:cs="Calibri"/>
          <w:sz w:val="24"/>
          <w:szCs w:val="24"/>
        </w:rPr>
        <w:t>, se dentro ou fora do estado.</w:t>
      </w:r>
    </w:p>
    <w:p w14:paraId="71E8865B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00773697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PERDA DE ARRECADAÇÃO, GUERRA FISCAL E AUMENTO DAS DESIGUALDADES SOCIAIS E REGIONAIS</w:t>
      </w:r>
    </w:p>
    <w:p w14:paraId="7875F720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Um dos objetivos fundamentais da República Federativa do Brasil é reduzir as desigualdades sociais e regionais (art. 3º, III da CF/88). Todavia, esse objetivo ficará ainda mais distante com o acirramento da guerra fiscal e com o aumento das desigualdades regionais.</w:t>
      </w:r>
    </w:p>
    <w:p w14:paraId="60967046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Não há dúvidas de que os estados mais prejudicados serão os da região norte, nordeste e centro-oeste, por serem estados consumidores, característica de estados menos desenvolvidos. Se o DIFAL deixar de ser cobrado, como pretende a impetrante, esses estados sofrerão significativa perda de arrecadação.</w:t>
      </w:r>
    </w:p>
    <w:p w14:paraId="065E1728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Além disso, será inviável aos produtores desses estados fazer concorrência com os produtores das outras regiões, pois estes venderão seus produtos tributados com uma alíquota inferior (alíquota interestadual de 7%). A concentração espacial da produção/indústria, como se sabe, pertence às regiões sudeste e sul, com maior destaque para o estado de São Paulo.</w:t>
      </w:r>
    </w:p>
    <w:p w14:paraId="62AB1852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Com a perda de arrecadação e a redução do poder de concorrência mencionadas acima, o abismo entre as regiões produtoras e consumidoras será ainda mais elevado.</w:t>
      </w:r>
    </w:p>
    <w:p w14:paraId="58D0E3DE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Em planilha de id SEI </w:t>
      </w:r>
      <w:hyperlink r:id="rId5" w:tgtFrame="_blank" w:history="1">
        <w:r w:rsidRPr="004E37F0">
          <w:rPr>
            <w:rStyle w:val="Hyperlink"/>
            <w:rFonts w:ascii="Calibri" w:hAnsi="Calibri" w:cs="Calibri"/>
            <w:sz w:val="24"/>
            <w:szCs w:val="24"/>
          </w:rPr>
          <w:t>0029942554</w:t>
        </w:r>
      </w:hyperlink>
      <w:r w:rsidRPr="004E37F0">
        <w:rPr>
          <w:rFonts w:ascii="Calibri" w:hAnsi="Calibri" w:cs="Calibri"/>
          <w:sz w:val="24"/>
          <w:szCs w:val="24"/>
        </w:rPr>
        <w:t>, a Gerência de Incentivos Tributários e Estudos Econômicos – GITEC, que faz parte da estrutura organizacional básica da Secretaria de Estado de Finanças, estimou perda de arrecadação no valor de R$ </w:t>
      </w:r>
      <w:r w:rsidRPr="004E37F0">
        <w:rPr>
          <w:rFonts w:ascii="Calibri" w:hAnsi="Calibri" w:cs="Calibri"/>
          <w:b/>
          <w:bCs/>
          <w:sz w:val="24"/>
          <w:szCs w:val="24"/>
        </w:rPr>
        <w:t>67,5 milhões para o ano de 2022</w:t>
      </w:r>
      <w:r w:rsidRPr="004E37F0">
        <w:rPr>
          <w:rFonts w:ascii="Calibri" w:hAnsi="Calibri" w:cs="Calibri"/>
          <w:sz w:val="24"/>
          <w:szCs w:val="24"/>
        </w:rPr>
        <w:t> em caso de não cobrança do ICMS-DIFAL nas operações com não contribuintes, sendo de </w:t>
      </w:r>
      <w:r w:rsidRPr="004E37F0">
        <w:rPr>
          <w:rFonts w:ascii="Calibri" w:hAnsi="Calibri" w:cs="Calibri"/>
          <w:b/>
          <w:bCs/>
          <w:sz w:val="24"/>
          <w:szCs w:val="24"/>
        </w:rPr>
        <w:t>R$ 15,7 milhões a perda referente às arrecadações dos meses de fevereiro a abril</w:t>
      </w:r>
      <w:r w:rsidRPr="004E37F0">
        <w:rPr>
          <w:rFonts w:ascii="Calibri" w:hAnsi="Calibri" w:cs="Calibri"/>
          <w:sz w:val="24"/>
          <w:szCs w:val="24"/>
        </w:rPr>
        <w:t>, caso a exigência e a cobrança desse tributo fosse a partir de 1º de abril de 2022, seguindo a interpretação exposta no Relatório (0024461598).</w:t>
      </w:r>
    </w:p>
    <w:p w14:paraId="60C2B2EF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Obviamente tal quantia foi considerada na LOA do presente ano e é de tal modo essencial para as finanças do estado que sua perda poderá gerar um desarranjo nas contas públicas que poderá afetar a prestação de serviços básicos pelo estado, tais como saúde, educação, segurança etc.</w:t>
      </w:r>
    </w:p>
    <w:p w14:paraId="28575B42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Pelo exposto, é evidente o grave </w:t>
      </w:r>
      <w:r w:rsidRPr="004E37F0">
        <w:rPr>
          <w:rFonts w:ascii="Calibri" w:hAnsi="Calibri" w:cs="Calibri"/>
          <w:b/>
          <w:bCs/>
          <w:sz w:val="24"/>
          <w:szCs w:val="24"/>
        </w:rPr>
        <w:t>risco de danos ao erário</w:t>
      </w:r>
      <w:r w:rsidRPr="004E37F0">
        <w:rPr>
          <w:rFonts w:ascii="Calibri" w:hAnsi="Calibri" w:cs="Calibri"/>
          <w:sz w:val="24"/>
          <w:szCs w:val="24"/>
        </w:rPr>
        <w:t>. O ICMS é a principal fonte de arrecadação dos estados, sendo o DIFAL uma imprescindível fatia do total arrecadado aos cofres estaduais.</w:t>
      </w:r>
    </w:p>
    <w:p w14:paraId="3A54C40D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Some-se a isso o risco da proliferação de decisões idênticas (efeito multiplicador). O deferimento do pedido da impetrante poderá causar grave lesão aos interesses públicos, especialmente à ordem e à economia, resultando em desequilíbrio das contas públicas.</w:t>
      </w:r>
    </w:p>
    <w:p w14:paraId="60F1EEBA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3C6044C4" w14:textId="77777777" w:rsidR="004E37F0" w:rsidRPr="004E37F0" w:rsidRDefault="004E37F0" w:rsidP="00CB2263">
      <w:pPr>
        <w:ind w:firstLine="708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lastRenderedPageBreak/>
        <w:t>JURISPRUDÊNCIA – GRAVE LESÃO À ORDEM, À ECONOMIA E À SAÚDE PÚBLICA DO ESTADO – SUSPENSÃO DE LIMINARES</w:t>
      </w:r>
    </w:p>
    <w:p w14:paraId="543ADBF5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Ainda que algumas decisões judiciais afastem a exigência e a cobrança do tributo pelo período de 90 (noventa) dias contados a partir da publicação da Lei Complementar 190/2022, o STF entende que a suspensão da exigibilidade de tributos, ainda que parcial, e a dilação dos prazos para seu pagamento impostos por decisões judiciais implicam a desarticulação da gestão da política tributária estatal e acarretam sério risco de lesão à ordem e à economia públicas. Veja-se:</w:t>
      </w:r>
    </w:p>
    <w:p w14:paraId="71152E27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 xml:space="preserve">EMENTA: Agravos regimentais na suspensão de segurança. Insurgências que se </w:t>
      </w:r>
      <w:proofErr w:type="spellStart"/>
      <w:r w:rsidRPr="004E37F0">
        <w:rPr>
          <w:rFonts w:ascii="Calibri" w:hAnsi="Calibri" w:cs="Calibri"/>
          <w:sz w:val="20"/>
          <w:szCs w:val="20"/>
        </w:rPr>
        <w:t>voltam</w:t>
      </w:r>
      <w:proofErr w:type="spellEnd"/>
      <w:r w:rsidRPr="004E37F0">
        <w:rPr>
          <w:rFonts w:ascii="Calibri" w:hAnsi="Calibri" w:cs="Calibri"/>
          <w:sz w:val="20"/>
          <w:szCs w:val="20"/>
        </w:rPr>
        <w:t xml:space="preserve"> contra a sustação de efeitos de decisões regionais que, em regra, declararam a inexigibilidade parcial de tributos, alongando prazos para pagamento. Indevida intromissão na gestão da política tributária estatal. Risco de lesão à ordem e à economia públicas evidenciado. Agravos regimentais não providos.</w:t>
      </w:r>
    </w:p>
    <w:p w14:paraId="54987A70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1. Em tempos de pandemia, os inevitáveis conflitos entre particulares e o Estado, decorrentes da adoção de providências tendentes a combatê-la, devem ser equacionados pela tomada de medidas coordenadas e voltadas ao bem comum, sempre tendo por norte que não cabe ao Poder Judiciário decidir quem deve ou não pagar impostos, ou mesmo quais políticas públicas devem ser adotadas, substituindo-se aos gestores responsáveis pela condução dos destinos do Estado.</w:t>
      </w:r>
    </w:p>
    <w:p w14:paraId="789E06A8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b/>
          <w:bCs/>
          <w:sz w:val="20"/>
          <w:szCs w:val="20"/>
        </w:rPr>
        <w:t>2. A suspensão da exigibilidade de tributos, ainda que parcial, e a dilação dos prazos para seu pagamento impostos por decisões judiciais implicam a desarticulação da gestão da política tributária estatal e acarretam sério risco de lesão à ordem e à economia públicas.</w:t>
      </w:r>
    </w:p>
    <w:p w14:paraId="6172516B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b/>
          <w:bCs/>
          <w:sz w:val="20"/>
          <w:szCs w:val="20"/>
        </w:rPr>
        <w:t>3. As decisões regionais são, ademais, dotadas de potencial efeito multiplicador, a recomendar a pronta suspensão de seus efeitos. 4. Agravos regimentais não providos.</w:t>
      </w:r>
    </w:p>
    <w:p w14:paraId="79AA4F68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(STF - SS: 5363 SP 0090018-80.2020.1.00.0000, Relator: LUIZFUX (Presidente), Data de Julgamento: 16/09/2020, Tribunal Pleno, Data de Publicação: 29/10/2020)</w:t>
      </w:r>
    </w:p>
    <w:p w14:paraId="15B54B4F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Nesse sentido, os presidentes do TJBA e do TJPI suspenderam as liminares já proferidas e as supervenientes que versem pela abstenção tanto do destaque do imposto nas notas fiscais quanto do recolhimento do DIFAL e adicional FECOP durante o período de 90 (noventa) dias contados a partir da publicação da Lei Complementar 190/2022, devido ao risco de grave lesão à ordem, à economia e à saúde pública:</w:t>
      </w:r>
    </w:p>
    <w:p w14:paraId="6716D95B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b/>
          <w:bCs/>
          <w:sz w:val="20"/>
          <w:szCs w:val="20"/>
        </w:rPr>
        <w:t>TJPI - Processo 0751242-13.2022.8.18.0000 (id. </w:t>
      </w:r>
      <w:hyperlink r:id="rId6" w:tgtFrame="_blank" w:history="1">
        <w:r w:rsidRPr="004E37F0">
          <w:rPr>
            <w:rStyle w:val="Hyperlink"/>
            <w:rFonts w:ascii="Calibri" w:hAnsi="Calibri" w:cs="Calibri"/>
            <w:b/>
            <w:bCs/>
            <w:sz w:val="20"/>
            <w:szCs w:val="20"/>
          </w:rPr>
          <w:t>0029942821</w:t>
        </w:r>
      </w:hyperlink>
      <w:r w:rsidRPr="004E37F0">
        <w:rPr>
          <w:rFonts w:ascii="Calibri" w:hAnsi="Calibri" w:cs="Calibri"/>
          <w:b/>
          <w:bCs/>
          <w:sz w:val="20"/>
          <w:szCs w:val="20"/>
        </w:rPr>
        <w:t>):</w:t>
      </w:r>
    </w:p>
    <w:p w14:paraId="729D7915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EMENTA</w:t>
      </w:r>
    </w:p>
    <w:p w14:paraId="1E3B1297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PEDIDO DE SUSPENSÃO DE LIMINAR. MANDADO DE SEGURANÇA. ICMS-DIFAL. </w:t>
      </w:r>
      <w:r w:rsidRPr="004E37F0">
        <w:rPr>
          <w:rFonts w:ascii="Calibri" w:hAnsi="Calibri" w:cs="Calibri"/>
          <w:b/>
          <w:bCs/>
          <w:sz w:val="20"/>
          <w:szCs w:val="20"/>
        </w:rPr>
        <w:t>POTENCIAL PREJUÍZO À ECONOMIA PÚBLICA CARACTERIZADO NA DIMINUIÇÃO ABRUPTA DE ARRECADAÇÃO E IMPOSIÇÃO DE CONCORRÊNCIA DESLEAL AO COMÉRCIO LOCAL</w:t>
      </w:r>
      <w:r w:rsidRPr="004E37F0">
        <w:rPr>
          <w:rFonts w:ascii="Calibri" w:hAnsi="Calibri" w:cs="Calibri"/>
          <w:sz w:val="20"/>
          <w:szCs w:val="20"/>
        </w:rPr>
        <w:t>. PEDIDO DEFERIDO.</w:t>
      </w:r>
    </w:p>
    <w:p w14:paraId="5B44FD5A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 </w:t>
      </w:r>
    </w:p>
    <w:p w14:paraId="00B83F04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b/>
          <w:bCs/>
          <w:sz w:val="20"/>
          <w:szCs w:val="20"/>
        </w:rPr>
        <w:t>TJBA – Processo 8005145-17.2022.8.05.0000 (id. </w:t>
      </w:r>
      <w:hyperlink r:id="rId7" w:tgtFrame="_blank" w:history="1">
        <w:r w:rsidRPr="004E37F0">
          <w:rPr>
            <w:rStyle w:val="Hyperlink"/>
            <w:rFonts w:ascii="Calibri" w:hAnsi="Calibri" w:cs="Calibri"/>
            <w:b/>
            <w:bCs/>
            <w:sz w:val="20"/>
            <w:szCs w:val="20"/>
          </w:rPr>
          <w:t>0029942954</w:t>
        </w:r>
      </w:hyperlink>
      <w:r w:rsidRPr="004E37F0">
        <w:rPr>
          <w:rFonts w:ascii="Calibri" w:hAnsi="Calibri" w:cs="Calibri"/>
          <w:b/>
          <w:bCs/>
          <w:sz w:val="20"/>
          <w:szCs w:val="20"/>
        </w:rPr>
        <w:t>):</w:t>
      </w:r>
    </w:p>
    <w:p w14:paraId="37561D59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(..)</w:t>
      </w:r>
    </w:p>
    <w:p w14:paraId="7DB0AF34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Consoante se observa, de fato, as decisões exaradas pelo MM Juízo representam risco à ordem econômica do Estado da Bahia, consubstanciado na proliferação de demandas idênticas, típicas do denominado “efeito multiplicador” das liminares, de grande impacto nas finanças públicas, por implicar a supressão de receita.</w:t>
      </w:r>
    </w:p>
    <w:p w14:paraId="7E3E5B51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Saliente-se, nesse aspecto, que as receitas advenientes do recolhimento do ICMS, na área do comércio varejista, representam expressiva fatia orçamentária do ente público estatal, sem as quais comprometeriam o equilíbrio fiscal e a continuidade dos serviços públicos.</w:t>
      </w:r>
    </w:p>
    <w:p w14:paraId="39423554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 xml:space="preserve">Conforme leciona a </w:t>
      </w:r>
      <w:proofErr w:type="spellStart"/>
      <w:proofErr w:type="gramStart"/>
      <w:r w:rsidRPr="004E37F0">
        <w:rPr>
          <w:rFonts w:ascii="Calibri" w:hAnsi="Calibri" w:cs="Calibri"/>
          <w:sz w:val="20"/>
          <w:szCs w:val="20"/>
        </w:rPr>
        <w:t>ex</w:t>
      </w:r>
      <w:proofErr w:type="spellEnd"/>
      <w:r w:rsidRPr="004E37F0">
        <w:rPr>
          <w:rFonts w:ascii="Calibri" w:hAnsi="Calibri" w:cs="Calibri"/>
          <w:sz w:val="20"/>
          <w:szCs w:val="20"/>
        </w:rPr>
        <w:t xml:space="preserve"> Ministra</w:t>
      </w:r>
      <w:proofErr w:type="gramEnd"/>
      <w:r w:rsidRPr="004E37F0">
        <w:rPr>
          <w:rFonts w:ascii="Calibri" w:hAnsi="Calibri" w:cs="Calibri"/>
          <w:sz w:val="20"/>
          <w:szCs w:val="20"/>
        </w:rPr>
        <w:t xml:space="preserve"> Ellen Gracie:</w:t>
      </w:r>
    </w:p>
    <w:p w14:paraId="3C049794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“Típico risco de lesão à ordem pública encontra-se </w:t>
      </w:r>
      <w:r w:rsidRPr="004E37F0">
        <w:rPr>
          <w:rFonts w:ascii="Calibri" w:hAnsi="Calibri" w:cs="Calibri"/>
          <w:b/>
          <w:bCs/>
          <w:sz w:val="20"/>
          <w:szCs w:val="20"/>
        </w:rPr>
        <w:t xml:space="preserve">na ameaça de paralisação de um serviço público essencial ou na </w:t>
      </w:r>
      <w:proofErr w:type="spellStart"/>
      <w:r w:rsidRPr="004E37F0">
        <w:rPr>
          <w:rFonts w:ascii="Calibri" w:hAnsi="Calibri" w:cs="Calibri"/>
          <w:b/>
          <w:bCs/>
          <w:sz w:val="20"/>
          <w:szCs w:val="20"/>
        </w:rPr>
        <w:t>obstaculização</w:t>
      </w:r>
      <w:proofErr w:type="spellEnd"/>
      <w:r w:rsidRPr="004E37F0">
        <w:rPr>
          <w:rFonts w:ascii="Calibri" w:hAnsi="Calibri" w:cs="Calibri"/>
          <w:b/>
          <w:bCs/>
          <w:sz w:val="20"/>
          <w:szCs w:val="20"/>
        </w:rPr>
        <w:t xml:space="preserve"> de seu regular funcionamento</w:t>
      </w:r>
      <w:r w:rsidRPr="004E37F0">
        <w:rPr>
          <w:rFonts w:ascii="Calibri" w:hAnsi="Calibri" w:cs="Calibri"/>
          <w:sz w:val="20"/>
          <w:szCs w:val="20"/>
        </w:rPr>
        <w:t>. Francesco Conte refere que '(…) dentre outros múltiplos aspectos, a ordem pública se refere à normal execução do serviço público e ao devido exercício das funções da administração pelas autoridades (…)'.”2.</w:t>
      </w:r>
    </w:p>
    <w:p w14:paraId="1737EE39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lastRenderedPageBreak/>
        <w:t>Demais disso, infere-se do relatório técnico confeccionado pelo Superintendente da Administração Tributária do Estado da Bahia, que a estimativa do quantum resultante da arrecadação do precitado imposto, com a incidência da parcela DIFAL-ICMS, corresponde ao expressivo numerário de R$ 50.000.000 (cinquenta milhões de reais) mensais, dado a indicar uma perda significativa para os cofres públicos estaduais, comprometendo, inclusive, a prestação de serviços públicos essenciais.</w:t>
      </w:r>
    </w:p>
    <w:p w14:paraId="57BAB1EF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Sob outro vértice, o recrudescimento da crise econômico-financeira suportada pelo Estado, diante do agravamento do quadro de saúde pública decorrente da pandemia SARS-COVID-19 está a onerar, ainda mais, o erário estadual por exigir a destinação prioritária de recursos públicos.</w:t>
      </w:r>
    </w:p>
    <w:p w14:paraId="304904A1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Não fosse o bastante, sem adentrar no mérito da controvérsia principal, convém destacar que milita, de forma desfavorável às empresas beneficiadas com o deferimento das liminares no juízo primevo, a presunção de constitucionalidade da Lei Complementar n.190/2022, publicada em 05/01/22, que regulamentou a cobrança do diferencial de alíquotas do ICMS (DIFAL), nos termos da tese fixada pelo Plenário do STF, com repercussão geral (Tema 1093)3 e, ainda, no âmbito Estadual, a edição da Lei 14.415, de 30/12/2021, que passou a exigir o DIFAL desde o dia 01/01/2022 no Estado da Bahia.</w:t>
      </w:r>
    </w:p>
    <w:p w14:paraId="7C43500E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b/>
          <w:bCs/>
          <w:sz w:val="20"/>
          <w:szCs w:val="20"/>
        </w:rPr>
        <w:t>Nessa conjuntura, a suspensão dos efeitos das liminares exaradas revela perigo de dano reverso às finanças e à saúde públicas do Estado, mormente quando em tramitação a ADI n. 7.066/DF perante o STF, com o mesmo objeto.</w:t>
      </w:r>
    </w:p>
    <w:p w14:paraId="3D631270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Ante o exposto</w:t>
      </w:r>
      <w:r w:rsidRPr="004E37F0">
        <w:rPr>
          <w:rFonts w:ascii="Calibri" w:hAnsi="Calibri" w:cs="Calibri"/>
          <w:b/>
          <w:bCs/>
          <w:sz w:val="20"/>
          <w:szCs w:val="20"/>
        </w:rPr>
        <w:t>, defiro o pedido de suspensão dos efeitos das decisões proferidas </w:t>
      </w:r>
      <w:r w:rsidRPr="004E37F0">
        <w:rPr>
          <w:rFonts w:ascii="Calibri" w:hAnsi="Calibri" w:cs="Calibri"/>
          <w:sz w:val="20"/>
          <w:szCs w:val="20"/>
        </w:rPr>
        <w:t>nos processos tombados sob os nº 8004264-37.2022.805.0001, 8003337-71.2022.805.0001 e 8010720-03.2022.805.0001, Por fim</w:t>
      </w:r>
      <w:r w:rsidRPr="004E37F0">
        <w:rPr>
          <w:rFonts w:ascii="Calibri" w:hAnsi="Calibri" w:cs="Calibri"/>
          <w:b/>
          <w:bCs/>
          <w:sz w:val="20"/>
          <w:szCs w:val="20"/>
        </w:rPr>
        <w:t>, determino sejam os efeitos da presente suspensão estendidos as decisões exaradas</w:t>
      </w:r>
      <w:r w:rsidRPr="004E37F0">
        <w:rPr>
          <w:rFonts w:ascii="Calibri" w:hAnsi="Calibri" w:cs="Calibri"/>
          <w:sz w:val="20"/>
          <w:szCs w:val="20"/>
        </w:rPr>
        <w:t> no bojo dos processos nº 8005785-17.2022.8.05.0001, 8005718-52.2022.8.05.0001, 8006549-03.2022.8.05.0001, 8004951-14.2022.8.05.0001, 8007833-46.2022.8.05.0001, 8005752-27.2022.8.05.0001, 8006117-81.2022.8.05.0001, 8008299-40.2022.8.05.0001, 8003821-86.2022.8.05.0001, 8009539-64.2022.8.05.0001, 8009679-98.2022.8.05.0001, 8009302-30.2022.8.05.0001, 8009995-14.2022.8.05.0001, 8009980-45.2022.8.05.0001, 8007912-25.2022.8.05.0001, 8010763-37.2022.8.05.0001, 8010753-90.2022.8.05.0001, 8006492-82.2022.8.05.0001 e 8010769-44.2022.8.05.0001, 8004264-37.2022.805.0001 e 8010720-03.2022.805.0001, pois possuem objeto e conteúdo idênticos, nos moldes do quanto disposto no art. 4º, §8º, da Lei nº 8.437/92.</w:t>
      </w:r>
    </w:p>
    <w:p w14:paraId="1CC71527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(...)</w:t>
      </w:r>
    </w:p>
    <w:p w14:paraId="1C833111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Consoante mencionado na decisão do presidente do TJBA, encontra-se em tramitação no STF a ADI n. 7.066/DF (id. </w:t>
      </w:r>
      <w:hyperlink r:id="rId8" w:tgtFrame="_blank" w:history="1">
        <w:r w:rsidRPr="004E37F0">
          <w:rPr>
            <w:rStyle w:val="Hyperlink"/>
            <w:rFonts w:ascii="Calibri" w:hAnsi="Calibri" w:cs="Calibri"/>
            <w:sz w:val="24"/>
            <w:szCs w:val="24"/>
          </w:rPr>
          <w:t>0029943103</w:t>
        </w:r>
      </w:hyperlink>
      <w:r w:rsidRPr="004E37F0">
        <w:rPr>
          <w:rFonts w:ascii="Calibri" w:hAnsi="Calibri" w:cs="Calibri"/>
          <w:sz w:val="24"/>
          <w:szCs w:val="24"/>
        </w:rPr>
        <w:t>), por meio da qual estão sendo questionados o § 4º do art. 24-A da LC 87/96 e o art. 3º da LC 190/2022:</w:t>
      </w:r>
    </w:p>
    <w:p w14:paraId="6FFE1FFB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b/>
          <w:bCs/>
          <w:sz w:val="20"/>
          <w:szCs w:val="20"/>
        </w:rPr>
        <w:t>Lei Complementar 87/1996</w:t>
      </w:r>
    </w:p>
    <w:p w14:paraId="031DD2FA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Art. 24-A. Os Estados e o Distrito Federal divulgarão, em portal próprio, as informações necessárias ao cumprimento das obrigações tributárias, principais e acessórias, nas operações e prestações interestaduais, conforme o tipo.   (...)</w:t>
      </w:r>
    </w:p>
    <w:p w14:paraId="2A337ECA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§ 4º Para a adaptação tecnológica do contribuinte, o inciso II do § 2º do art. 4º, a alínea “b” do inciso V do caput do art. 11 e o inciso XVI do caput do art. 12 desta Lei Complementar somente produzirão efeito no primeiro dia útil do terceiro mês subsequente ao da disponibilização do portal de que trata o caput deste artigo.</w:t>
      </w:r>
    </w:p>
    <w:p w14:paraId="1493C72E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b/>
          <w:bCs/>
          <w:sz w:val="20"/>
          <w:szCs w:val="20"/>
        </w:rPr>
        <w:t>Lei Complementar 190/2022</w:t>
      </w:r>
    </w:p>
    <w:p w14:paraId="044CF83F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Art. 3º Esta Lei Complementar entra em vigor na data de sua publicação, observado, quanto à produção de efeitos, o disposto na alínea 'c' do inciso III do caput do art. 150 da Constituição Federal.</w:t>
      </w:r>
    </w:p>
    <w:p w14:paraId="17DC35C6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Na ADI 7070 (julgada em conjunto com a ADI 7066), o Governador do Estado de Alagoas sustenta que tanto o princípio da anterioridade do exercício, quanto o princípio da anterioridade nonagesimal só teriam aplicabilidade quando da instituição ou aumento de tributos, o que não é configurado no caso, em que apenas é regulamentada a repartição de receita de ICMS entre os estados da federação. Ainda, entende os prazos previstos no art. 24-A, §4º, da LC 87/1996 e no art. 3º da LC 190/2022 configuram isenção heterônoma de ICMS pela União, o que é vedado pelo art. 151, III, da CF/88:</w:t>
      </w:r>
    </w:p>
    <w:p w14:paraId="760798D6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b/>
          <w:bCs/>
          <w:sz w:val="20"/>
          <w:szCs w:val="20"/>
        </w:rPr>
        <w:t>Constituição Federal de 1988</w:t>
      </w:r>
    </w:p>
    <w:p w14:paraId="1C7F3484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Art. 151. É vedado à União:</w:t>
      </w:r>
    </w:p>
    <w:p w14:paraId="570E7FA6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(...)</w:t>
      </w:r>
    </w:p>
    <w:p w14:paraId="6243D905" w14:textId="77777777" w:rsidR="004E37F0" w:rsidRPr="004E37F0" w:rsidRDefault="004E37F0" w:rsidP="00CB2263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III - instituir isenções de tributos da competência dos Estados, do Distrito Federal ou dos Municípios.</w:t>
      </w:r>
    </w:p>
    <w:p w14:paraId="5FE98D39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lastRenderedPageBreak/>
        <w:t>Dessa forma, o referido governador requer a concessão de medida cautelar para suspender os efeitos do § 4º do art. 24-A da LC 87/1996 e do art. 3º da LC 190/2022 e conferir integral eficácia à LC 190/2022 a partir de sua publicação e, no mérito, pede a declaração de inconstitucionalidade dos referidos dispositivos.</w:t>
      </w:r>
    </w:p>
    <w:p w14:paraId="1DDBBFF1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O Ministro Alexandre de Moraes indeferiu as medidas cautelares requeridas na ADI 7070 (proposta pelo Estado de Alagoas) e na ADI 7078 (proposta pelo Estado do Ceará) por entender que o decurso de mais de 90 dias desde a edição da norma descaracteriza a presença do requisito do </w:t>
      </w:r>
      <w:r w:rsidRPr="004E37F0">
        <w:rPr>
          <w:rFonts w:ascii="Calibri" w:hAnsi="Calibri" w:cs="Calibri"/>
          <w:i/>
          <w:iCs/>
          <w:sz w:val="24"/>
          <w:szCs w:val="24"/>
        </w:rPr>
        <w:t>periculum in mora</w:t>
      </w:r>
      <w:r w:rsidRPr="004E37F0">
        <w:rPr>
          <w:rFonts w:ascii="Calibri" w:hAnsi="Calibri" w:cs="Calibri"/>
          <w:sz w:val="24"/>
          <w:szCs w:val="24"/>
        </w:rPr>
        <w:t>, necessário para a apreciação do pedido em sede provisória.</w:t>
      </w:r>
    </w:p>
    <w:p w14:paraId="125F3A2C" w14:textId="77777777" w:rsidR="004E37F0" w:rsidRPr="004E37F0" w:rsidRDefault="004E37F0" w:rsidP="00CB2263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No entanto, o referido ministro entende que não há uma correlação apriorística entre exigência de lei complementar e submissão ao princípio da anterioridade e que, em seu juízo de cognição sumária, a regulamentação do DIFAL pela LC 190/2022 não importou em lei que institui ou aumenta tributos:</w:t>
      </w:r>
    </w:p>
    <w:p w14:paraId="6A47779C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(...)</w:t>
      </w:r>
    </w:p>
    <w:p w14:paraId="52C47C67" w14:textId="77777777" w:rsidR="004E37F0" w:rsidRPr="004E37F0" w:rsidRDefault="004E37F0" w:rsidP="00141EA9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b/>
          <w:bCs/>
          <w:sz w:val="20"/>
          <w:szCs w:val="20"/>
        </w:rPr>
        <w:t xml:space="preserve">O Princípio da anterioridade previsto no art. 150, III, “b”, da CF, protege o contribuinte contra intromissões e avanços do Fisco sobre o patrimônio privado, o que não ocorre no caso em debate, pois trata-se um tributo já existente (diferencial de alíquota de ICMS), sobre fato gerador antes já tributado (operações interestaduais destinadas a consumidor não contribuinte), por alíquota (final) inalterada, a ser pago pelo mesmo contribuinte, sem aumento do </w:t>
      </w:r>
      <w:proofErr w:type="gramStart"/>
      <w:r w:rsidRPr="004E37F0">
        <w:rPr>
          <w:rFonts w:ascii="Calibri" w:hAnsi="Calibri" w:cs="Calibri"/>
          <w:b/>
          <w:bCs/>
          <w:sz w:val="20"/>
          <w:szCs w:val="20"/>
        </w:rPr>
        <w:t>produto final</w:t>
      </w:r>
      <w:proofErr w:type="gramEnd"/>
      <w:r w:rsidRPr="004E37F0">
        <w:rPr>
          <w:rFonts w:ascii="Calibri" w:hAnsi="Calibri" w:cs="Calibri"/>
          <w:b/>
          <w:bCs/>
          <w:sz w:val="20"/>
          <w:szCs w:val="20"/>
        </w:rPr>
        <w:t xml:space="preserve"> arrecadado.</w:t>
      </w:r>
    </w:p>
    <w:p w14:paraId="56E5685D" w14:textId="77777777" w:rsidR="004E37F0" w:rsidRPr="004E37F0" w:rsidRDefault="004E37F0" w:rsidP="00141EA9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Em momento algum houve agravamento da situação do contribuinte a exigir a incidência da garantia constitucional prevista no referido artigo 150, III, “b” da Constituição Federal, uma vez que, a nova norma jurídica não o prejudica, ou sequer o surpreende, como ocorre com a alteração na sujeição ativa do tributo promovida pela LC 190/2022 (EC 87/2015).</w:t>
      </w:r>
    </w:p>
    <w:p w14:paraId="39E195AC" w14:textId="77777777" w:rsidR="004E37F0" w:rsidRPr="004E37F0" w:rsidRDefault="004E37F0" w:rsidP="00141EA9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A EC 87/2015 previu a progressiva substituição da incidência da alíquota interna pela soma da alíquota interestadual com o DIFAL, transferindo a receita dos Estados de origem para os Estados de destino, nessa modalidade de operação (art. 99 do ADCT).</w:t>
      </w:r>
    </w:p>
    <w:p w14:paraId="1E37B1D1" w14:textId="77777777" w:rsidR="004E37F0" w:rsidRPr="004E37F0" w:rsidRDefault="004E37F0" w:rsidP="00141EA9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b/>
          <w:bCs/>
          <w:sz w:val="20"/>
          <w:szCs w:val="20"/>
        </w:rPr>
        <w:t>A disciplina do Convênio ICMS CONFAZ 93/2015 pretendeu alcançar o mesmo arranjo fiscal que, agora, a LC 190/2022 preservou, a fim de sanar o vício formal apontado pela CORTE no julgamento da ADI 5469, mas sem qualquer inovação relevante no tratamento da matéria.</w:t>
      </w:r>
    </w:p>
    <w:p w14:paraId="59AD5998" w14:textId="77777777" w:rsidR="004E37F0" w:rsidRPr="004E37F0" w:rsidRDefault="004E37F0" w:rsidP="00141EA9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(...)</w:t>
      </w:r>
    </w:p>
    <w:p w14:paraId="6A52FEAC" w14:textId="77777777" w:rsidR="004E37F0" w:rsidRPr="004E37F0" w:rsidRDefault="004E37F0" w:rsidP="00141EA9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O Excelentíssimo Min. Alexandre de Moraes concluiu que seria inconsistente suspender a incidência do DIFAL, mantendo apenas a incidência da alíquota interestadual, pois não era essa a tributação aplicada antes da LC 190/2022 ou da LC 87/2015, quando a incidia apenas a alíquota interna a favor do Estado de origem.</w:t>
      </w:r>
    </w:p>
    <w:p w14:paraId="0D010041" w14:textId="77777777" w:rsidR="004E37F0" w:rsidRPr="004E37F0" w:rsidRDefault="004E37F0" w:rsidP="00141EA9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Dessa forma, caso não fosse possível exigir e cobrar o DIFAL, a solução seria resgatar a sistemática da incidência da alíquota interna a favor do Estado de origem em vez de aplicar apenas a alíquota interestadual, sob alegação de instituição/majoração de tributo, provocando risco de grave lesão à ordem, à economia e à saúde pública devido à redução da arrecadação. Confira-se abaixo o trecho da decisão:</w:t>
      </w:r>
    </w:p>
    <w:p w14:paraId="7A736313" w14:textId="77777777" w:rsidR="004E37F0" w:rsidRPr="004E37F0" w:rsidRDefault="004E37F0" w:rsidP="00141EA9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(...)</w:t>
      </w:r>
    </w:p>
    <w:p w14:paraId="37ACC936" w14:textId="77777777" w:rsidR="004E37F0" w:rsidRPr="004E37F0" w:rsidRDefault="004E37F0" w:rsidP="00141EA9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Além disso</w:t>
      </w:r>
      <w:r w:rsidRPr="004E37F0">
        <w:rPr>
          <w:rFonts w:ascii="Calibri" w:hAnsi="Calibri" w:cs="Calibri"/>
          <w:b/>
          <w:bCs/>
          <w:sz w:val="20"/>
          <w:szCs w:val="20"/>
        </w:rPr>
        <w:t>, a suspensão da incidência do DIFAL, mantida a incidência apenas da alíquota interestadual, seria inconsistente sob o ponto de vista de que essa tributação não ocorria assim antes da lei impugnada (ou da EC 87/2015), quando incidia a alíquota interna em favor do Estado de origem</w:t>
      </w:r>
      <w:r w:rsidRPr="004E37F0">
        <w:rPr>
          <w:rFonts w:ascii="Calibri" w:hAnsi="Calibri" w:cs="Calibri"/>
          <w:sz w:val="20"/>
          <w:szCs w:val="20"/>
        </w:rPr>
        <w:t>. Caso se entendesse que a nova sistemática de tributação não poderia ser exigida no presente exercício, como pretende a Requerente ABIMAQ, a solução adequada seria resgatar a sistemática anterior à EC 87/2015, e não aplicar parte da regulamentação que se reputa ineficaz, sob pena de, a pretexto de evitar majoração, causar decesso na arrecadação do tributo.</w:t>
      </w:r>
    </w:p>
    <w:p w14:paraId="7AAFF973" w14:textId="77777777" w:rsidR="004E37F0" w:rsidRPr="004E37F0" w:rsidRDefault="004E37F0" w:rsidP="00141EA9">
      <w:pPr>
        <w:ind w:left="567"/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t>(...)</w:t>
      </w:r>
    </w:p>
    <w:p w14:paraId="4C01B301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783CFB83" w14:textId="77777777" w:rsidR="004E37F0" w:rsidRPr="004E37F0" w:rsidRDefault="004E37F0" w:rsidP="00141EA9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CONCLUSÃO</w:t>
      </w:r>
    </w:p>
    <w:p w14:paraId="5689BBBC" w14:textId="77777777" w:rsidR="004E37F0" w:rsidRPr="004E37F0" w:rsidRDefault="004E37F0" w:rsidP="00141EA9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Por todo o exposto, tendo em vista o conflito de princípios tributários, a jurisprudência citada e, principalmente, o grave risco de lesão ao erário, conclui-se pela mitigação do princípio da anterioridade e dos prazos previstos no art. 24-A, §4º, da LC 87/1996 e no art. 3º da LC 190/2022. Assim, </w:t>
      </w:r>
      <w:r w:rsidRPr="004E37F0">
        <w:rPr>
          <w:rFonts w:ascii="Calibri" w:hAnsi="Calibri" w:cs="Calibri"/>
          <w:b/>
          <w:bCs/>
          <w:sz w:val="24"/>
          <w:szCs w:val="24"/>
        </w:rPr>
        <w:t xml:space="preserve">entendemos pela cobrança </w:t>
      </w:r>
      <w:r w:rsidRPr="004E37F0">
        <w:rPr>
          <w:rFonts w:ascii="Calibri" w:hAnsi="Calibri" w:cs="Calibri"/>
          <w:b/>
          <w:bCs/>
          <w:sz w:val="24"/>
          <w:szCs w:val="24"/>
        </w:rPr>
        <w:lastRenderedPageBreak/>
        <w:t>do ICMS-DIFAL nas operações destinadas a consumidor final não contribuinte desde janeiro de 2022</w:t>
      </w:r>
      <w:r w:rsidRPr="004E37F0">
        <w:rPr>
          <w:rFonts w:ascii="Calibri" w:hAnsi="Calibri" w:cs="Calibri"/>
          <w:sz w:val="24"/>
          <w:szCs w:val="24"/>
        </w:rPr>
        <w:t>, </w:t>
      </w:r>
      <w:r w:rsidRPr="004E37F0">
        <w:rPr>
          <w:rFonts w:ascii="Calibri" w:hAnsi="Calibri" w:cs="Calibri"/>
          <w:sz w:val="24"/>
          <w:szCs w:val="24"/>
          <w:u w:val="single"/>
        </w:rPr>
        <w:t>ressalvados os casos amparados por decisão judicial em vigor</w:t>
      </w:r>
      <w:r w:rsidRPr="004E37F0">
        <w:rPr>
          <w:rFonts w:ascii="Calibri" w:hAnsi="Calibri" w:cs="Calibri"/>
          <w:sz w:val="24"/>
          <w:szCs w:val="24"/>
        </w:rPr>
        <w:t>.</w:t>
      </w:r>
    </w:p>
    <w:p w14:paraId="3A5FDFBA" w14:textId="095E456E" w:rsidR="004E37F0" w:rsidRPr="004E37F0" w:rsidRDefault="004E37F0" w:rsidP="00141EA9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É o Parecer.</w:t>
      </w:r>
    </w:p>
    <w:p w14:paraId="0B16B286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00CB6AE4" w14:textId="77777777" w:rsidR="004E37F0" w:rsidRPr="004E37F0" w:rsidRDefault="004E37F0" w:rsidP="00141EA9">
      <w:pPr>
        <w:ind w:firstLine="567"/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b/>
          <w:bCs/>
          <w:sz w:val="24"/>
          <w:szCs w:val="24"/>
        </w:rPr>
        <w:t>À consideração superior.</w:t>
      </w:r>
    </w:p>
    <w:p w14:paraId="16D066C0" w14:textId="77777777" w:rsidR="004E37F0" w:rsidRPr="004E37F0" w:rsidRDefault="004E37F0" w:rsidP="004E37F0">
      <w:pPr>
        <w:jc w:val="right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Porto Velho - RO, 27 de junho de 2022.</w:t>
      </w:r>
    </w:p>
    <w:p w14:paraId="540296E3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tbl>
      <w:tblPr>
        <w:tblW w:w="912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18"/>
        <w:gridCol w:w="4204"/>
      </w:tblGrid>
      <w:tr w:rsidR="004E37F0" w:rsidRPr="004E37F0" w14:paraId="71349843" w14:textId="77777777" w:rsidTr="004E37F0">
        <w:trPr>
          <w:trHeight w:val="20"/>
          <w:jc w:val="center"/>
        </w:trPr>
        <w:tc>
          <w:tcPr>
            <w:tcW w:w="491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635E38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b/>
                <w:bCs/>
                <w:sz w:val="24"/>
                <w:szCs w:val="24"/>
              </w:rPr>
              <w:t>Heleno Meira da Silva</w:t>
            </w:r>
          </w:p>
        </w:tc>
        <w:tc>
          <w:tcPr>
            <w:tcW w:w="42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223AC0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b/>
                <w:bCs/>
                <w:sz w:val="24"/>
                <w:szCs w:val="24"/>
              </w:rPr>
              <w:t>Remo Vieira dos Santos</w:t>
            </w:r>
          </w:p>
        </w:tc>
      </w:tr>
      <w:tr w:rsidR="004E37F0" w:rsidRPr="004E37F0" w14:paraId="0E19A352" w14:textId="77777777" w:rsidTr="004E37F0">
        <w:trPr>
          <w:trHeight w:val="20"/>
          <w:jc w:val="center"/>
        </w:trPr>
        <w:tc>
          <w:tcPr>
            <w:tcW w:w="491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C2423F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Auditor Fiscal de Tributos Estaduais</w:t>
            </w:r>
          </w:p>
        </w:tc>
        <w:tc>
          <w:tcPr>
            <w:tcW w:w="420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7420C2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Auditor Fiscal de Tributos Estaduais</w:t>
            </w:r>
          </w:p>
        </w:tc>
      </w:tr>
      <w:tr w:rsidR="004E37F0" w:rsidRPr="004E37F0" w14:paraId="56204336" w14:textId="77777777" w:rsidTr="004E37F0">
        <w:trPr>
          <w:trHeight w:val="20"/>
          <w:jc w:val="center"/>
        </w:trPr>
        <w:tc>
          <w:tcPr>
            <w:tcW w:w="491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9B498C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Matrícula 300160787</w:t>
            </w:r>
          </w:p>
        </w:tc>
        <w:tc>
          <w:tcPr>
            <w:tcW w:w="420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6141A5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Matrícula 300155382</w:t>
            </w:r>
          </w:p>
        </w:tc>
      </w:tr>
    </w:tbl>
    <w:p w14:paraId="2EBF5A84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8"/>
        <w:gridCol w:w="4396"/>
      </w:tblGrid>
      <w:tr w:rsidR="004E37F0" w:rsidRPr="004E37F0" w14:paraId="244723AA" w14:textId="77777777" w:rsidTr="004E37F0">
        <w:trPr>
          <w:trHeight w:val="1871"/>
          <w:jc w:val="center"/>
        </w:trPr>
        <w:tc>
          <w:tcPr>
            <w:tcW w:w="4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004301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De acordo:</w:t>
            </w:r>
          </w:p>
          <w:p w14:paraId="6B178162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 </w:t>
            </w:r>
          </w:p>
          <w:p w14:paraId="7FCB8EE6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 </w:t>
            </w:r>
          </w:p>
          <w:p w14:paraId="3F3608F6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 </w:t>
            </w:r>
          </w:p>
          <w:p w14:paraId="1702A581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_________________________</w:t>
            </w:r>
          </w:p>
          <w:p w14:paraId="5B93FB10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b/>
                <w:bCs/>
                <w:sz w:val="24"/>
                <w:szCs w:val="24"/>
              </w:rPr>
              <w:t>Márcio Alves Passos</w:t>
            </w:r>
          </w:p>
          <w:p w14:paraId="57136D4D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Auditor Fiscal de Tributos Estaduais</w:t>
            </w:r>
          </w:p>
          <w:p w14:paraId="1F5510AC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Gerente de Tributação - Substituto</w:t>
            </w:r>
          </w:p>
        </w:tc>
        <w:tc>
          <w:tcPr>
            <w:tcW w:w="43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6D46F7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1)    Aprovo o presente Parecer.</w:t>
            </w:r>
          </w:p>
          <w:p w14:paraId="04483937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2)    Notifique-se a interessada.</w:t>
            </w:r>
          </w:p>
          <w:p w14:paraId="61C7B165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 </w:t>
            </w:r>
          </w:p>
          <w:p w14:paraId="44ED554B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 </w:t>
            </w:r>
          </w:p>
          <w:p w14:paraId="5FEE03C6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_________________________________</w:t>
            </w:r>
          </w:p>
          <w:p w14:paraId="4913A17D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b/>
                <w:bCs/>
                <w:sz w:val="24"/>
                <w:szCs w:val="24"/>
              </w:rPr>
              <w:t>Antônio Carlos Alencar do Nascimento</w:t>
            </w:r>
          </w:p>
          <w:p w14:paraId="11271B18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E37F0">
              <w:rPr>
                <w:rFonts w:ascii="Calibri" w:hAnsi="Calibri" w:cs="Calibri"/>
                <w:sz w:val="24"/>
                <w:szCs w:val="24"/>
              </w:rPr>
              <w:t>Coordenador Geral da Receita Estadual</w:t>
            </w:r>
          </w:p>
        </w:tc>
      </w:tr>
    </w:tbl>
    <w:p w14:paraId="582FF039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421F8EC7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t> </w:t>
      </w:r>
    </w:p>
    <w:p w14:paraId="4FB53A7D" w14:textId="77777777" w:rsidR="004E37F0" w:rsidRPr="004E37F0" w:rsidRDefault="004E37F0" w:rsidP="004E37F0">
      <w:pPr>
        <w:jc w:val="both"/>
        <w:rPr>
          <w:rFonts w:ascii="Calibri" w:hAnsi="Calibri" w:cs="Calibri"/>
          <w:sz w:val="24"/>
          <w:szCs w:val="24"/>
        </w:rPr>
      </w:pPr>
      <w:r w:rsidRPr="004E37F0">
        <w:rPr>
          <w:rFonts w:ascii="Calibri" w:hAnsi="Calibri" w:cs="Calibri"/>
          <w:sz w:val="24"/>
          <w:szCs w:val="24"/>
        </w:rPr>
        <w:pict w14:anchorId="6644CF4C">
          <v:rect id="_x0000_i1092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4E37F0" w:rsidRPr="004E37F0" w14:paraId="4A0021A8" w14:textId="77777777" w:rsidTr="004E37F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91B136" w14:textId="41004796" w:rsidR="004E37F0" w:rsidRPr="004E37F0" w:rsidRDefault="004E37F0" w:rsidP="004E37F0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E37F0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78D171A5" wp14:editId="4769CD92">
                  <wp:extent cx="847725" cy="571500"/>
                  <wp:effectExtent l="0" t="0" r="9525" b="0"/>
                  <wp:docPr id="1023629815" name="Imagem 10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E4862B9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E37F0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4E37F0">
              <w:rPr>
                <w:rFonts w:ascii="Calibri" w:hAnsi="Calibri" w:cs="Calibri"/>
                <w:b/>
                <w:bCs/>
                <w:sz w:val="20"/>
                <w:szCs w:val="20"/>
              </w:rPr>
              <w:t>Heleno Meira da Silva</w:t>
            </w:r>
            <w:r w:rsidRPr="004E37F0">
              <w:rPr>
                <w:rFonts w:ascii="Calibri" w:hAnsi="Calibri" w:cs="Calibri"/>
                <w:sz w:val="20"/>
                <w:szCs w:val="20"/>
              </w:rPr>
              <w:t>, </w:t>
            </w:r>
            <w:r w:rsidRPr="004E37F0">
              <w:rPr>
                <w:rFonts w:ascii="Calibri" w:hAnsi="Calibri" w:cs="Calibri"/>
                <w:b/>
                <w:bCs/>
                <w:sz w:val="20"/>
                <w:szCs w:val="20"/>
              </w:rPr>
              <w:t>Auditor</w:t>
            </w:r>
            <w:r w:rsidRPr="004E37F0">
              <w:rPr>
                <w:rFonts w:ascii="Calibri" w:hAnsi="Calibri" w:cs="Calibri"/>
                <w:sz w:val="20"/>
                <w:szCs w:val="20"/>
              </w:rPr>
              <w:t>, em 27/06/2022, às 12:53, conforme horário oficial de Brasília, com fundamento no artigo 18 caput e seus §§ 1º e 2º, do </w:t>
            </w:r>
            <w:hyperlink r:id="rId10" w:tgtFrame="_blank" w:tooltip="Acesse o Decreto" w:history="1">
              <w:r w:rsidRPr="004E37F0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02180AB1" w14:textId="77777777" w:rsidR="004E37F0" w:rsidRPr="004E37F0" w:rsidRDefault="004E37F0" w:rsidP="004E37F0">
      <w:pPr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pict w14:anchorId="1601BB62">
          <v:rect id="_x0000_i1094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4E37F0" w:rsidRPr="004E37F0" w14:paraId="7499207B" w14:textId="77777777" w:rsidTr="004E37F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5EE7EA" w14:textId="04C1BEBB" w:rsidR="004E37F0" w:rsidRPr="004E37F0" w:rsidRDefault="004E37F0" w:rsidP="004E37F0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E37F0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5B7E5C91" wp14:editId="4DBDC880">
                  <wp:extent cx="847725" cy="571500"/>
                  <wp:effectExtent l="0" t="0" r="9525" b="0"/>
                  <wp:docPr id="1428024126" name="Imagem 9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6F3DE05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E37F0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4E37F0">
              <w:rPr>
                <w:rFonts w:ascii="Calibri" w:hAnsi="Calibri" w:cs="Calibri"/>
                <w:b/>
                <w:bCs/>
                <w:sz w:val="20"/>
                <w:szCs w:val="20"/>
              </w:rPr>
              <w:t>Remo Vieira dos Santos</w:t>
            </w:r>
            <w:r w:rsidRPr="004E37F0">
              <w:rPr>
                <w:rFonts w:ascii="Calibri" w:hAnsi="Calibri" w:cs="Calibri"/>
                <w:sz w:val="20"/>
                <w:szCs w:val="20"/>
              </w:rPr>
              <w:t>, </w:t>
            </w:r>
            <w:r w:rsidRPr="004E37F0">
              <w:rPr>
                <w:rFonts w:ascii="Calibri" w:hAnsi="Calibri" w:cs="Calibri"/>
                <w:b/>
                <w:bCs/>
                <w:sz w:val="20"/>
                <w:szCs w:val="20"/>
              </w:rPr>
              <w:t>Auditor</w:t>
            </w:r>
            <w:r w:rsidRPr="004E37F0">
              <w:rPr>
                <w:rFonts w:ascii="Calibri" w:hAnsi="Calibri" w:cs="Calibri"/>
                <w:sz w:val="20"/>
                <w:szCs w:val="20"/>
              </w:rPr>
              <w:t>, em 27/06/2022, às 12:55, conforme horário oficial de Brasília, com fundamento no artigo 18 caput e seus §§ 1º e 2º, do </w:t>
            </w:r>
            <w:hyperlink r:id="rId11" w:tgtFrame="_blank" w:tooltip="Acesse o Decreto" w:history="1">
              <w:r w:rsidRPr="004E37F0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31801781" w14:textId="77777777" w:rsidR="004E37F0" w:rsidRPr="004E37F0" w:rsidRDefault="004E37F0" w:rsidP="004E37F0">
      <w:pPr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pict w14:anchorId="19B208D6">
          <v:rect id="_x0000_i109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4E37F0" w:rsidRPr="004E37F0" w14:paraId="1A3CB923" w14:textId="77777777" w:rsidTr="004E37F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127D6B" w14:textId="14601E86" w:rsidR="004E37F0" w:rsidRPr="004E37F0" w:rsidRDefault="004E37F0" w:rsidP="004E37F0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E37F0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5E09AB45" wp14:editId="6E6784D7">
                  <wp:extent cx="847725" cy="571500"/>
                  <wp:effectExtent l="0" t="0" r="9525" b="0"/>
                  <wp:docPr id="1883153166" name="Imagem 8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2622545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E37F0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4E37F0">
              <w:rPr>
                <w:rFonts w:ascii="Calibri" w:hAnsi="Calibri" w:cs="Calibri"/>
                <w:b/>
                <w:bCs/>
                <w:sz w:val="20"/>
                <w:szCs w:val="20"/>
              </w:rPr>
              <w:t>Marcio Alves Passos</w:t>
            </w:r>
            <w:r w:rsidRPr="004E37F0">
              <w:rPr>
                <w:rFonts w:ascii="Calibri" w:hAnsi="Calibri" w:cs="Calibri"/>
                <w:sz w:val="20"/>
                <w:szCs w:val="20"/>
              </w:rPr>
              <w:t>, </w:t>
            </w:r>
            <w:r w:rsidRPr="004E37F0">
              <w:rPr>
                <w:rFonts w:ascii="Calibri" w:hAnsi="Calibri" w:cs="Calibri"/>
                <w:b/>
                <w:bCs/>
                <w:sz w:val="20"/>
                <w:szCs w:val="20"/>
              </w:rPr>
              <w:t>Gerente</w:t>
            </w:r>
            <w:r w:rsidRPr="004E37F0">
              <w:rPr>
                <w:rFonts w:ascii="Calibri" w:hAnsi="Calibri" w:cs="Calibri"/>
                <w:sz w:val="20"/>
                <w:szCs w:val="20"/>
              </w:rPr>
              <w:t>, em 30/06/2022, às 09:55, conforme horário oficial de Brasília, com fundamento no artigo 18 caput e seus §§ 1º e 2º, do </w:t>
            </w:r>
            <w:hyperlink r:id="rId12" w:tgtFrame="_blank" w:tooltip="Acesse o Decreto" w:history="1">
              <w:r w:rsidRPr="004E37F0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26972ADD" w14:textId="77777777" w:rsidR="004E37F0" w:rsidRPr="004E37F0" w:rsidRDefault="004E37F0" w:rsidP="004E37F0">
      <w:pPr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pict w14:anchorId="33FC5261">
          <v:rect id="_x0000_i1098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4E37F0" w:rsidRPr="004E37F0" w14:paraId="68BDA17E" w14:textId="77777777" w:rsidTr="004E37F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542E24" w14:textId="39BE93BE" w:rsidR="004E37F0" w:rsidRPr="004E37F0" w:rsidRDefault="004E37F0" w:rsidP="004E37F0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E37F0">
              <w:rPr>
                <w:rFonts w:ascii="Calibri" w:hAnsi="Calibri" w:cs="Calibri"/>
                <w:sz w:val="20"/>
                <w:szCs w:val="20"/>
              </w:rPr>
              <w:lastRenderedPageBreak/>
              <w:drawing>
                <wp:inline distT="0" distB="0" distL="0" distR="0" wp14:anchorId="71F124AF" wp14:editId="27B083D7">
                  <wp:extent cx="847725" cy="571500"/>
                  <wp:effectExtent l="0" t="0" r="9525" b="0"/>
                  <wp:docPr id="1439214335" name="Imagem 7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5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87AC3FE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E37F0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4E37F0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4E37F0">
              <w:rPr>
                <w:rFonts w:ascii="Calibri" w:hAnsi="Calibri" w:cs="Calibri"/>
                <w:sz w:val="20"/>
                <w:szCs w:val="20"/>
              </w:rPr>
              <w:t>, </w:t>
            </w:r>
            <w:r w:rsidRPr="004E37F0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4E37F0">
              <w:rPr>
                <w:rFonts w:ascii="Calibri" w:hAnsi="Calibri" w:cs="Calibri"/>
                <w:sz w:val="20"/>
                <w:szCs w:val="20"/>
              </w:rPr>
              <w:t>, em 04/07/2022, às 13:46, conforme horário oficial de Brasília, com fundamento no artigo 18 caput e seus §§ 1º e 2º, do </w:t>
            </w:r>
            <w:hyperlink r:id="rId13" w:tgtFrame="_blank" w:tooltip="Acesse o Decreto" w:history="1">
              <w:r w:rsidRPr="004E37F0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4DE93DC8" w14:textId="77777777" w:rsidR="004E37F0" w:rsidRPr="004E37F0" w:rsidRDefault="004E37F0" w:rsidP="004E37F0">
      <w:pPr>
        <w:jc w:val="both"/>
        <w:rPr>
          <w:rFonts w:ascii="Calibri" w:hAnsi="Calibri" w:cs="Calibri"/>
          <w:sz w:val="20"/>
          <w:szCs w:val="20"/>
        </w:rPr>
      </w:pPr>
      <w:r w:rsidRPr="004E37F0">
        <w:rPr>
          <w:rFonts w:ascii="Calibri" w:hAnsi="Calibri" w:cs="Calibri"/>
          <w:sz w:val="20"/>
          <w:szCs w:val="20"/>
        </w:rPr>
        <w:pict w14:anchorId="4B19386C">
          <v:rect id="_x0000_i1100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4E37F0" w:rsidRPr="004E37F0" w14:paraId="78EE9CA7" w14:textId="77777777" w:rsidTr="004E37F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F407CA" w14:textId="4FB0ED59" w:rsidR="004E37F0" w:rsidRPr="004E37F0" w:rsidRDefault="004E37F0" w:rsidP="004E37F0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E37F0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219661FA" wp14:editId="1FC47B0A">
                  <wp:extent cx="819150" cy="819150"/>
                  <wp:effectExtent l="0" t="0" r="0" b="0"/>
                  <wp:docPr id="658218704" name="Imagem 6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7DB739A" w14:textId="77777777" w:rsidR="004E37F0" w:rsidRPr="004E37F0" w:rsidRDefault="004E37F0" w:rsidP="004E37F0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4E37F0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5" w:tgtFrame="_blank" w:tooltip="Página de Autenticidade de Documentos" w:history="1">
              <w:r w:rsidRPr="004E37F0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4E37F0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4E37F0">
              <w:rPr>
                <w:rFonts w:ascii="Calibri" w:hAnsi="Calibri" w:cs="Calibri"/>
                <w:b/>
                <w:bCs/>
                <w:sz w:val="20"/>
                <w:szCs w:val="20"/>
              </w:rPr>
              <w:t>0029936781</w:t>
            </w:r>
            <w:r w:rsidRPr="004E37F0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4E37F0">
              <w:rPr>
                <w:rFonts w:ascii="Calibri" w:hAnsi="Calibri" w:cs="Calibri"/>
                <w:b/>
                <w:bCs/>
                <w:sz w:val="20"/>
                <w:szCs w:val="20"/>
              </w:rPr>
              <w:t>1ED4D9D4</w:t>
            </w:r>
            <w:r w:rsidRPr="004E37F0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078C3F73" w14:textId="21C38EAA" w:rsidR="002E0D6D" w:rsidRPr="004E37F0" w:rsidRDefault="002E0D6D" w:rsidP="004E37F0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4E37F0" w:rsidSect="004E37F0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37F0"/>
    <w:rsid w:val="00141EA9"/>
    <w:rsid w:val="002E0D6D"/>
    <w:rsid w:val="004E37F0"/>
    <w:rsid w:val="008B3CB0"/>
    <w:rsid w:val="00C16A5D"/>
    <w:rsid w:val="00CB2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DD0FB"/>
  <w15:chartTrackingRefBased/>
  <w15:docId w15:val="{B77D0B46-05F0-4CDE-9882-A3ED0D642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4E37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E37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E37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E37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E37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E37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E37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E37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E37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E37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E37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E37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E37F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E37F0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E37F0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E37F0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E37F0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E37F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E37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E37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E37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E37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E37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E37F0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E37F0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E37F0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E37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E37F0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E37F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4E37F0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4E37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8869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49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1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7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57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84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.php?acao=protocolo_visualizar&amp;id_protocolo=30130939&amp;id_procedimento_atual=27169533&amp;infra_sistema=100000100&amp;infra_unidade_atual=110002271&amp;infra_hash=64022ae46a4eccb34b8146bb64a3bc57c147514382509d97cc2bcf43c0265a7d6fa1dfb7369e7d20b039361001fb0be4c7a8c39c55c451a049c909c7616d01c1060c1a2e71c970107fd948effbe05a4341d3be034de19ba74b2cb13f18de5691" TargetMode="External"/><Relationship Id="rId13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sei.sistemas.ro.gov.br/sei/controlador.php?acao=protocolo_visualizar&amp;id_protocolo=30130784&amp;id_procedimento_atual=27169533&amp;infra_sistema=100000100&amp;infra_unidade_atual=110002271&amp;infra_hash=8681cd7f830b585ddc9b47b94682a478ac21bd014965f73824f12fb471975f666fa1dfb7369e7d20b039361001fb0be4c7a8c39c55c451a049c909c7616d01c1060c1a2e71c970107fd948effbe05a4341d3be034de19ba74b2cb13f18de5691" TargetMode="External"/><Relationship Id="rId12" Type="http://schemas.openxmlformats.org/officeDocument/2006/relationships/hyperlink" Target="http://www.diof.ro.gov.br/data/uploads/2017/04/Doe-05_04_2017.pdf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sei.sistemas.ro.gov.br/sei/controlador.php?acao=protocolo_visualizar&amp;id_protocolo=30130642&amp;id_procedimento_atual=27169533&amp;infra_sistema=100000100&amp;infra_unidade_atual=110002271&amp;infra_hash=530c305034075b266be5e80f2987f93145266cee0cd8f852be0ecf24a3a727a56fa1dfb7369e7d20b039361001fb0be4c7a8c39c55c451a049c909c7616d01c1060c1a2e71c970107fd948effbe05a4341d3be034de19ba74b2cb13f18de5691" TargetMode="External"/><Relationship Id="rId11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hyperlink" Target="http://sei.sistemas.ro.gov.br/sei/controlador.php?acao=protocolo_visualizar&amp;id_protocolo=30130356&amp;id_procedimento_atual=27169533&amp;infra_sistema=100000100&amp;infra_unidade_atual=110002271&amp;infra_hash=5b9b89352995f2a776b7245b582c06d1257ccbc7124b33d285b5355824bd582a6fa1dfb7369e7d20b039361001fb0be4c7a8c39c55c451a049c909c7616d01c1060c1a2e71c970107fd948effbe05a4341d3be034de19ba74b2cb13f18de5691" TargetMode="External"/><Relationship Id="rId15" Type="http://schemas.openxmlformats.org/officeDocument/2006/relationships/hyperlink" Target="http://sei.sistemas.ro.gov.br/sei/controlador_externo.php?acao=documento_conferir&amp;id_orgao_acesso_externo=0" TargetMode="External"/><Relationship Id="rId10" Type="http://schemas.openxmlformats.org/officeDocument/2006/relationships/hyperlink" Target="http://www.diof.ro.gov.br/data/uploads/2017/04/Doe-05_04_2017.pdf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11</Pages>
  <Words>5918</Words>
  <Characters>31959</Characters>
  <Application>Microsoft Office Word</Application>
  <DocSecurity>0</DocSecurity>
  <Lines>266</Lines>
  <Paragraphs>75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2</cp:revision>
  <dcterms:created xsi:type="dcterms:W3CDTF">2024-12-09T15:09:00Z</dcterms:created>
  <dcterms:modified xsi:type="dcterms:W3CDTF">2024-12-09T15:48:00Z</dcterms:modified>
</cp:coreProperties>
</file>