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43FF0" w14:textId="77777777" w:rsidR="005C0061" w:rsidRPr="005C0061" w:rsidRDefault="005C0061" w:rsidP="005C0061">
      <w:pPr>
        <w:rPr>
          <w:rFonts w:cstheme="minorHAnsi"/>
          <w:color w:val="EE0000"/>
          <w:sz w:val="20"/>
          <w:szCs w:val="20"/>
        </w:rPr>
      </w:pPr>
      <w:r w:rsidRPr="005C0061">
        <w:rPr>
          <w:rFonts w:cstheme="minorHAnsi"/>
          <w:color w:val="EE0000"/>
          <w:sz w:val="20"/>
          <w:szCs w:val="20"/>
        </w:rPr>
        <w:t>* Este texto não substitui o publicado no DOE.</w:t>
      </w:r>
    </w:p>
    <w:p w14:paraId="1515B767" w14:textId="77777777" w:rsidR="005C0061" w:rsidRPr="005C0061" w:rsidRDefault="005C0061" w:rsidP="005C0061">
      <w:pPr>
        <w:rPr>
          <w:rFonts w:cstheme="minorHAnsi"/>
          <w:sz w:val="20"/>
          <w:szCs w:val="20"/>
        </w:rPr>
      </w:pPr>
      <w:r w:rsidRPr="005C0061">
        <w:rPr>
          <w:rFonts w:cstheme="minorHAnsi"/>
          <w:sz w:val="20"/>
          <w:szCs w:val="20"/>
        </w:rPr>
        <w:t>Diário Oficial do Estado de Rondônia nº 90</w:t>
      </w:r>
      <w:r w:rsidRPr="005C0061">
        <w:rPr>
          <w:rFonts w:cstheme="minorHAnsi"/>
          <w:sz w:val="20"/>
          <w:szCs w:val="20"/>
        </w:rPr>
        <w:br/>
        <w:t>Disponibilização: 15/05/2025</w:t>
      </w:r>
      <w:r w:rsidRPr="005C0061">
        <w:rPr>
          <w:rFonts w:cstheme="minorHAnsi"/>
          <w:sz w:val="20"/>
          <w:szCs w:val="20"/>
        </w:rPr>
        <w:br/>
        <w:t>Publicação: 15/05/2025</w:t>
      </w:r>
    </w:p>
    <w:p w14:paraId="7D299C64" w14:textId="6CA45151" w:rsidR="005C0061" w:rsidRPr="005C0061" w:rsidRDefault="005C0061" w:rsidP="005C0061">
      <w:pPr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drawing>
          <wp:inline distT="0" distB="0" distL="0" distR="0" wp14:anchorId="32177F1A" wp14:editId="64E2D222">
            <wp:extent cx="1584960" cy="1219200"/>
            <wp:effectExtent l="0" t="0" r="0" b="0"/>
            <wp:docPr id="1376353010" name="Imagem 6" descr="Imagem digital fictícia de personagem de desenho animado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 descr="Imagem digital fictícia de personagem de desenho animado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96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6E5102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GOVERNO DO ESTADO DE RONDÔNIA</w:t>
      </w:r>
    </w:p>
    <w:p w14:paraId="6926B4C2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Secretaria de Estado de Finanças - SEFIN</w:t>
      </w:r>
    </w:p>
    <w:p w14:paraId="0CF15A36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Instrução Normativa nº 22/2025/GAB/CRE</w:t>
      </w:r>
    </w:p>
    <w:p w14:paraId="221E7407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0556030B" w14:textId="77777777" w:rsidR="005C0061" w:rsidRPr="005C0061" w:rsidRDefault="005C0061" w:rsidP="001E3B3E">
      <w:pPr>
        <w:spacing w:after="120" w:line="240" w:lineRule="auto"/>
        <w:ind w:left="3402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Disciplina a ampliação do prazo de pagamento do ICMS devido, cujos fatos geradores tenham ocorrido no âmbito da Rondônia Rural Show - RRS/2025.</w:t>
      </w:r>
    </w:p>
    <w:p w14:paraId="4FBF6FF2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 </w:t>
      </w:r>
    </w:p>
    <w:p w14:paraId="7E368488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 O </w:t>
      </w:r>
      <w:r w:rsidRPr="005C0061">
        <w:rPr>
          <w:rFonts w:cstheme="minorHAnsi"/>
          <w:b/>
          <w:bCs/>
          <w:sz w:val="24"/>
          <w:szCs w:val="24"/>
        </w:rPr>
        <w:t>COORDENADOR-GERAL DA RECEITA ESTADUAL</w:t>
      </w:r>
      <w:r w:rsidRPr="005C0061">
        <w:rPr>
          <w:rFonts w:cstheme="minorHAnsi"/>
          <w:sz w:val="24"/>
          <w:szCs w:val="24"/>
        </w:rPr>
        <w:t>, no uso de suas atribuições legais,</w:t>
      </w:r>
    </w:p>
    <w:p w14:paraId="7C83BA6D" w14:textId="77777777" w:rsid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3D6DC4B2" w14:textId="1CEE496E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CONSIDERANDO</w:t>
      </w:r>
      <w:r w:rsidRPr="005C0061">
        <w:rPr>
          <w:rFonts w:cstheme="minorHAnsi"/>
          <w:sz w:val="24"/>
          <w:szCs w:val="24"/>
        </w:rPr>
        <w:t> o advento do Decreto nº 30.118, de 27 de março de 2025;</w:t>
      </w:r>
    </w:p>
    <w:p w14:paraId="371FACA4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CONSIDERANDO</w:t>
      </w:r>
      <w:r w:rsidRPr="005C0061">
        <w:rPr>
          <w:rFonts w:cstheme="minorHAnsi"/>
          <w:sz w:val="24"/>
          <w:szCs w:val="24"/>
        </w:rPr>
        <w:t> o disposto no art. 60 do Regulamento do ICMS, c/c art. 47 do Anexo X, aprovado pelo Decreto nº 22.721, de 5 de abril de 2018; e</w:t>
      </w:r>
    </w:p>
    <w:p w14:paraId="552EF076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CONSIDERANDO</w:t>
      </w:r>
      <w:r w:rsidRPr="005C0061">
        <w:rPr>
          <w:rFonts w:cstheme="minorHAnsi"/>
          <w:sz w:val="24"/>
          <w:szCs w:val="24"/>
        </w:rPr>
        <w:t> o interesse público e a relevância setorial das operações comerciais de grande porte realizadas em decorrência da Rondônia Rural Show, edição 2025;</w:t>
      </w:r>
    </w:p>
    <w:p w14:paraId="04CBB364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15ADB29C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  <w:u w:val="single"/>
        </w:rPr>
        <w:t>D E T E R M I N A:</w:t>
      </w:r>
    </w:p>
    <w:p w14:paraId="43A9D5C0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657A00BD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Art. 1º </w:t>
      </w:r>
      <w:r w:rsidRPr="005C0061">
        <w:rPr>
          <w:rFonts w:cstheme="minorHAnsi"/>
          <w:sz w:val="24"/>
          <w:szCs w:val="24"/>
        </w:rPr>
        <w:t>Esta Instrução Normativa disciplina a dilação de prazo de recolhimento do Imposto sobre Operações Relativas à Circulação de Mercadorias e sobre Prestações de Serviços de Transporte Interestadual e Intermunicipal e de Comunicação - ICMS devido por contribuintes credenciados e cujos fatos geradores tenham ocorrido no âmbito da Rondônia Rural Show – RRS Internacional, edição de 2025.</w:t>
      </w:r>
    </w:p>
    <w:p w14:paraId="147B3246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Parágrafo único. O ICMS poderá ser pago em até 3 (três) parcelas mensais de igual valor e sem acréscimos, para as operações iniciadas no âmbito da RRS Internacional e concluídas nos prazos abaixo:</w:t>
      </w:r>
    </w:p>
    <w:p w14:paraId="55445236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 - </w:t>
      </w:r>
      <w:proofErr w:type="gramStart"/>
      <w:r w:rsidRPr="005C0061">
        <w:rPr>
          <w:rFonts w:cstheme="minorHAnsi"/>
          <w:sz w:val="24"/>
          <w:szCs w:val="24"/>
        </w:rPr>
        <w:t>operações</w:t>
      </w:r>
      <w:proofErr w:type="gramEnd"/>
      <w:r w:rsidRPr="005C0061">
        <w:rPr>
          <w:rFonts w:cstheme="minorHAnsi"/>
          <w:sz w:val="24"/>
          <w:szCs w:val="24"/>
        </w:rPr>
        <w:t xml:space="preserve"> entre 26 e 30 de abril - sendo a primeira parcela com vencimento em 30 de maio de 2025, a segunda parcela em 30 de junho de 2025 e a terceira parcela em 31 de julho de 2025;</w:t>
      </w:r>
    </w:p>
    <w:p w14:paraId="3912D6F5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II - </w:t>
      </w:r>
      <w:proofErr w:type="gramStart"/>
      <w:r w:rsidRPr="005C0061">
        <w:rPr>
          <w:rFonts w:cstheme="minorHAnsi"/>
          <w:sz w:val="24"/>
          <w:szCs w:val="24"/>
        </w:rPr>
        <w:t>operações</w:t>
      </w:r>
      <w:proofErr w:type="gramEnd"/>
      <w:r w:rsidRPr="005C0061">
        <w:rPr>
          <w:rFonts w:cstheme="minorHAnsi"/>
          <w:sz w:val="24"/>
          <w:szCs w:val="24"/>
        </w:rPr>
        <w:t xml:space="preserve"> entre 1º e 31 de maio - sendo a primeira parcela com vencimento em 30 de junho de 2025, a segunda parcela em 31 de julho de 2025 e a terceira parcela em 29 de agosto de 2025;</w:t>
      </w:r>
    </w:p>
    <w:p w14:paraId="22CD39B7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III - operações entre 1º e 30 de junho - sendo a primeira parcela com vencimento em 31 de julho de 2025, a segunda parcela em 29 de agosto de 2025 e a terceira parcela em 30 de setembro de 2025;</w:t>
      </w:r>
    </w:p>
    <w:p w14:paraId="362BEA9D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IV - </w:t>
      </w:r>
      <w:proofErr w:type="gramStart"/>
      <w:r w:rsidRPr="005C0061">
        <w:rPr>
          <w:rFonts w:cstheme="minorHAnsi"/>
          <w:sz w:val="24"/>
          <w:szCs w:val="24"/>
        </w:rPr>
        <w:t>operações</w:t>
      </w:r>
      <w:proofErr w:type="gramEnd"/>
      <w:r w:rsidRPr="005C0061">
        <w:rPr>
          <w:rFonts w:cstheme="minorHAnsi"/>
          <w:sz w:val="24"/>
          <w:szCs w:val="24"/>
        </w:rPr>
        <w:t xml:space="preserve"> entre 1º e 31 de julho - sendo a primeira parcela com vencimento em 29 de agosto de 2025, a segunda parcela em 30 de setembro de 2025 e a terceira parcela em 31 de outubro de 2025;</w:t>
      </w:r>
    </w:p>
    <w:p w14:paraId="4DD4474D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V - </w:t>
      </w:r>
      <w:proofErr w:type="gramStart"/>
      <w:r w:rsidRPr="005C0061">
        <w:rPr>
          <w:rFonts w:cstheme="minorHAnsi"/>
          <w:sz w:val="24"/>
          <w:szCs w:val="24"/>
        </w:rPr>
        <w:t>operações</w:t>
      </w:r>
      <w:proofErr w:type="gramEnd"/>
      <w:r w:rsidRPr="005C0061">
        <w:rPr>
          <w:rFonts w:cstheme="minorHAnsi"/>
          <w:sz w:val="24"/>
          <w:szCs w:val="24"/>
        </w:rPr>
        <w:t xml:space="preserve"> entre 1º e 25 de agosto - sendo a primeira parcela com vencimento em 30 de setembro de 2025, a segunda parcela em 31 de outubro de 2025 e a terceira parcela em 28 de novembro de 2025.</w:t>
      </w:r>
    </w:p>
    <w:p w14:paraId="63C02CA3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5E7D56FC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lastRenderedPageBreak/>
        <w:t>Art. 2º</w:t>
      </w:r>
      <w:r w:rsidRPr="005C0061">
        <w:rPr>
          <w:rFonts w:cstheme="minorHAnsi"/>
          <w:sz w:val="24"/>
          <w:szCs w:val="24"/>
        </w:rPr>
        <w:t> O direito à dilação de prazo, de que trata o </w:t>
      </w:r>
      <w:hyperlink r:id="rId5" w:anchor="IN_24_23_ART1" w:tgtFrame="_blank" w:history="1">
        <w:r w:rsidRPr="005C0061">
          <w:rPr>
            <w:rStyle w:val="Hyperlink"/>
            <w:rFonts w:cstheme="minorHAnsi"/>
            <w:sz w:val="24"/>
            <w:szCs w:val="24"/>
          </w:rPr>
          <w:t>art. 1º</w:t>
        </w:r>
      </w:hyperlink>
      <w:r w:rsidRPr="005C0061">
        <w:rPr>
          <w:rFonts w:cstheme="minorHAnsi"/>
          <w:sz w:val="24"/>
          <w:szCs w:val="24"/>
        </w:rPr>
        <w:t>, fica condicionado a que o contribuinte esteja cadastrado junto à Secretaria de Estado de Agricultura – SEAGRI como expositor na RRS.</w:t>
      </w:r>
    </w:p>
    <w:p w14:paraId="097EDF5C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634B8FC8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Art. 3º</w:t>
      </w:r>
      <w:r w:rsidRPr="005C0061">
        <w:rPr>
          <w:rFonts w:cstheme="minorHAnsi"/>
          <w:sz w:val="24"/>
          <w:szCs w:val="24"/>
        </w:rPr>
        <w:t> Para as operações de que trata esta IN, o contribuinte deverá:</w:t>
      </w:r>
    </w:p>
    <w:p w14:paraId="64D7D0CF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 - </w:t>
      </w:r>
      <w:proofErr w:type="gramStart"/>
      <w:r w:rsidRPr="005C0061">
        <w:rPr>
          <w:rFonts w:cstheme="minorHAnsi"/>
          <w:sz w:val="24"/>
          <w:szCs w:val="24"/>
        </w:rPr>
        <w:t>consignar</w:t>
      </w:r>
      <w:proofErr w:type="gramEnd"/>
      <w:r w:rsidRPr="005C0061">
        <w:rPr>
          <w:rFonts w:cstheme="minorHAnsi"/>
          <w:sz w:val="24"/>
          <w:szCs w:val="24"/>
        </w:rPr>
        <w:t xml:space="preserve"> nas informações complementares da NF-e a seguinte expressão: "</w:t>
      </w:r>
      <w:proofErr w:type="spellStart"/>
      <w:r w:rsidRPr="005C0061">
        <w:rPr>
          <w:rFonts w:cstheme="minorHAnsi"/>
          <w:sz w:val="24"/>
          <w:szCs w:val="24"/>
        </w:rPr>
        <w:t>rondonia</w:t>
      </w:r>
      <w:proofErr w:type="spellEnd"/>
      <w:r w:rsidRPr="005C0061">
        <w:rPr>
          <w:rFonts w:cstheme="minorHAnsi"/>
          <w:sz w:val="24"/>
          <w:szCs w:val="24"/>
        </w:rPr>
        <w:t xml:space="preserve"> rural show";</w:t>
      </w:r>
    </w:p>
    <w:p w14:paraId="46727748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II - escriturar o estorno de débito na EFD ICMS/IPI com o código "RO030010 - Estorno de débito – Rondônia Rural Show", com o somatório do total dos débitos das notas fiscais emitidas relativas aos fatos geradores dos negócios iniciados e concluídos nos prazos dos incisos do parágrafo único do art. 1º, conforme previsto no </w:t>
      </w:r>
      <w:hyperlink r:id="rId6" w:tgtFrame="_blank" w:history="1">
        <w:r w:rsidRPr="005C0061">
          <w:rPr>
            <w:rStyle w:val="Hyperlink"/>
            <w:rFonts w:cstheme="minorHAnsi"/>
            <w:sz w:val="24"/>
            <w:szCs w:val="24"/>
          </w:rPr>
          <w:t>Anexo Único da Instrução Normativa nº 033/2018/GAB/CRE</w:t>
        </w:r>
      </w:hyperlink>
      <w:r w:rsidRPr="005C0061">
        <w:rPr>
          <w:rFonts w:cstheme="minorHAnsi"/>
          <w:sz w:val="24"/>
          <w:szCs w:val="24"/>
        </w:rPr>
        <w:t>, de 5 de setembro de 2018; e</w:t>
      </w:r>
    </w:p>
    <w:p w14:paraId="3056D615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III - efetuar o pagamento dos lançamentos emitidos e parcelados nos termos do inciso II, na data do vencimento.</w:t>
      </w:r>
    </w:p>
    <w:p w14:paraId="0E5F9DB4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§ 1º O estorno de débito de que trata o inciso II fica condicionado à correta identificação dos documentos fiscais, o qual será objeto de glosa, caso se identifique alguma inconsistência.</w:t>
      </w:r>
    </w:p>
    <w:p w14:paraId="0531AD1B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§ 2º A SEFIN efetuará o lançamento do imposto referente:</w:t>
      </w:r>
    </w:p>
    <w:p w14:paraId="5DCA8673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 - </w:t>
      </w:r>
      <w:proofErr w:type="gramStart"/>
      <w:r w:rsidRPr="005C0061">
        <w:rPr>
          <w:rFonts w:cstheme="minorHAnsi"/>
          <w:sz w:val="24"/>
          <w:szCs w:val="24"/>
        </w:rPr>
        <w:t>aos</w:t>
      </w:r>
      <w:proofErr w:type="gramEnd"/>
      <w:r w:rsidRPr="005C0061">
        <w:rPr>
          <w:rFonts w:cstheme="minorHAnsi"/>
          <w:sz w:val="24"/>
          <w:szCs w:val="24"/>
        </w:rPr>
        <w:t xml:space="preserve"> documentos fiscais informados na EFD ICMS/IPI com código "RO030010</w:t>
      </w:r>
      <w:r w:rsidRPr="005C0061">
        <w:rPr>
          <w:rFonts w:cstheme="minorHAnsi"/>
          <w:b/>
          <w:bCs/>
          <w:sz w:val="24"/>
          <w:szCs w:val="24"/>
        </w:rPr>
        <w:t> - Estorno de débito – Rondônia Rural Show</w:t>
      </w:r>
      <w:r w:rsidRPr="005C0061">
        <w:rPr>
          <w:rFonts w:cstheme="minorHAnsi"/>
          <w:sz w:val="24"/>
          <w:szCs w:val="24"/>
        </w:rPr>
        <w:t>"; e</w:t>
      </w:r>
    </w:p>
    <w:p w14:paraId="3D94D8F9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 xml:space="preserve">II - </w:t>
      </w:r>
      <w:proofErr w:type="gramStart"/>
      <w:r w:rsidRPr="005C0061">
        <w:rPr>
          <w:rFonts w:cstheme="minorHAnsi"/>
          <w:sz w:val="24"/>
          <w:szCs w:val="24"/>
        </w:rPr>
        <w:t>aos</w:t>
      </w:r>
      <w:proofErr w:type="gramEnd"/>
      <w:r w:rsidRPr="005C0061">
        <w:rPr>
          <w:rFonts w:cstheme="minorHAnsi"/>
          <w:sz w:val="24"/>
          <w:szCs w:val="24"/>
        </w:rPr>
        <w:t xml:space="preserve"> demais documentos fiscais, sujeitos ao regime de apuração mensal.</w:t>
      </w:r>
    </w:p>
    <w:p w14:paraId="12549137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5153ACC4" w14:textId="77777777" w:rsidR="005C0061" w:rsidRPr="005C0061" w:rsidRDefault="005C0061" w:rsidP="001E3B3E">
      <w:pPr>
        <w:spacing w:after="12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Art. 4º</w:t>
      </w:r>
      <w:r w:rsidRPr="005C0061">
        <w:rPr>
          <w:rFonts w:cstheme="minorHAnsi"/>
          <w:sz w:val="24"/>
          <w:szCs w:val="24"/>
        </w:rPr>
        <w:t> Fica acrescido o seguinte dispositivo à Tabela 5.1.1. da Parte 2 – Códigos de ajustes da apuração do ICMS, do “Manual de Orientações da Escrituração Fiscal Digital para Contribuintes do Estado de Rondônia”, constante no </w:t>
      </w:r>
      <w:hyperlink r:id="rId7" w:tgtFrame="_blank" w:history="1">
        <w:r w:rsidRPr="005C0061">
          <w:rPr>
            <w:rStyle w:val="Hyperlink"/>
            <w:rFonts w:cstheme="minorHAnsi"/>
            <w:sz w:val="24"/>
            <w:szCs w:val="24"/>
          </w:rPr>
          <w:t>Anexo Único da Instrução Normativa nº 033/2018/GAB/CRE</w:t>
        </w:r>
      </w:hyperlink>
      <w:r w:rsidRPr="005C0061">
        <w:rPr>
          <w:rFonts w:cstheme="minorHAnsi"/>
          <w:sz w:val="24"/>
          <w:szCs w:val="24"/>
        </w:rPr>
        <w:t>:</w:t>
      </w:r>
    </w:p>
    <w:p w14:paraId="1217C77A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"</w:t>
      </w:r>
    </w:p>
    <w:tbl>
      <w:tblPr>
        <w:tblW w:w="1088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1489"/>
        <w:gridCol w:w="5723"/>
        <w:gridCol w:w="1936"/>
        <w:gridCol w:w="1734"/>
      </w:tblGrid>
      <w:tr w:rsidR="005C0061" w:rsidRPr="005C0061" w14:paraId="7100EF2C" w14:textId="77777777" w:rsidTr="005C0061">
        <w:trPr>
          <w:trHeight w:val="497"/>
          <w:jc w:val="center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C58DB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9929D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A6EB3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b/>
                <w:bCs/>
                <w:sz w:val="24"/>
                <w:szCs w:val="24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  <w:hideMark/>
          </w:tcPr>
          <w:p w14:paraId="7CF57E73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b/>
                <w:bCs/>
                <w:sz w:val="24"/>
                <w:szCs w:val="24"/>
              </w:rPr>
              <w:t>DATA FINAL</w:t>
            </w:r>
          </w:p>
        </w:tc>
      </w:tr>
      <w:tr w:rsidR="005C0061" w:rsidRPr="005C0061" w14:paraId="5361D523" w14:textId="77777777" w:rsidTr="005C0061">
        <w:trPr>
          <w:trHeight w:val="497"/>
          <w:jc w:val="center"/>
        </w:trPr>
        <w:tc>
          <w:tcPr>
            <w:tcW w:w="0" w:type="auto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44C51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sz w:val="24"/>
                <w:szCs w:val="24"/>
              </w:rPr>
              <w:t>RO030010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09778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sz w:val="24"/>
                <w:szCs w:val="24"/>
              </w:rPr>
              <w:t>Estorno de débito – Rondônia Rural Show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F9A7A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sz w:val="24"/>
                <w:szCs w:val="24"/>
              </w:rPr>
              <w:t>01042025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  <w:hideMark/>
          </w:tcPr>
          <w:p w14:paraId="7D6629E3" w14:textId="77777777" w:rsidR="005C0061" w:rsidRPr="005C0061" w:rsidRDefault="005C0061" w:rsidP="001E3B3E">
            <w:pPr>
              <w:spacing w:after="8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5C0061">
              <w:rPr>
                <w:rFonts w:cstheme="minorHAnsi"/>
                <w:sz w:val="24"/>
                <w:szCs w:val="24"/>
              </w:rPr>
              <w:t>31082025</w:t>
            </w:r>
          </w:p>
        </w:tc>
      </w:tr>
    </w:tbl>
    <w:p w14:paraId="6B3A7A4D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"</w:t>
      </w:r>
    </w:p>
    <w:p w14:paraId="3D72CCF7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Art. 5º </w:t>
      </w:r>
      <w:r w:rsidRPr="005C0061">
        <w:rPr>
          <w:rFonts w:cstheme="minorHAnsi"/>
          <w:sz w:val="24"/>
          <w:szCs w:val="24"/>
        </w:rPr>
        <w:t>Fica revogada a Instrução Normativa nº 30/2024/GAB/CRE.</w:t>
      </w:r>
    </w:p>
    <w:p w14:paraId="782DF645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164DAD67" w14:textId="77777777" w:rsidR="005C0061" w:rsidRPr="005C0061" w:rsidRDefault="005C0061" w:rsidP="001E3B3E">
      <w:pPr>
        <w:spacing w:after="80" w:line="240" w:lineRule="auto"/>
        <w:ind w:firstLine="709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Art. 6º</w:t>
      </w:r>
      <w:r w:rsidRPr="005C0061">
        <w:rPr>
          <w:rFonts w:cstheme="minorHAnsi"/>
          <w:sz w:val="24"/>
          <w:szCs w:val="24"/>
        </w:rPr>
        <w:t> Esta Instrução Normativa entra em vigor na data da sua publicação.</w:t>
      </w:r>
    </w:p>
    <w:p w14:paraId="3D021778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 </w:t>
      </w:r>
    </w:p>
    <w:p w14:paraId="144B2246" w14:textId="77777777" w:rsidR="005C0061" w:rsidRPr="005C0061" w:rsidRDefault="005C0061" w:rsidP="001E3B3E">
      <w:pPr>
        <w:spacing w:after="80" w:line="240" w:lineRule="auto"/>
        <w:jc w:val="right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Porto Velho, 12 de maio de 2025. </w:t>
      </w:r>
    </w:p>
    <w:p w14:paraId="2B7459B1" w14:textId="77777777" w:rsidR="005C0061" w:rsidRPr="005C0061" w:rsidRDefault="005C0061" w:rsidP="001E3B3E">
      <w:pPr>
        <w:spacing w:after="80" w:line="240" w:lineRule="auto"/>
        <w:jc w:val="both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 </w:t>
      </w:r>
    </w:p>
    <w:p w14:paraId="29A1AF72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b/>
          <w:bCs/>
          <w:sz w:val="24"/>
          <w:szCs w:val="24"/>
        </w:rPr>
        <w:t>ANTONIO CARLOS ALENCAR DO NASCIMENTO </w:t>
      </w:r>
    </w:p>
    <w:p w14:paraId="3AD48194" w14:textId="77777777" w:rsidR="005C0061" w:rsidRPr="005C0061" w:rsidRDefault="005C0061" w:rsidP="001E3B3E">
      <w:pPr>
        <w:spacing w:after="80" w:line="240" w:lineRule="auto"/>
        <w:jc w:val="center"/>
        <w:rPr>
          <w:rFonts w:cstheme="minorHAnsi"/>
          <w:sz w:val="24"/>
          <w:szCs w:val="24"/>
        </w:rPr>
      </w:pPr>
      <w:r w:rsidRPr="005C0061">
        <w:rPr>
          <w:rFonts w:cstheme="minorHAnsi"/>
          <w:sz w:val="24"/>
          <w:szCs w:val="24"/>
        </w:rPr>
        <w:t>Coordenador-Geral da Receita Estadual </w:t>
      </w:r>
    </w:p>
    <w:p w14:paraId="4BFABD0B" w14:textId="77777777" w:rsidR="005C0061" w:rsidRPr="005C0061" w:rsidRDefault="005C0061" w:rsidP="001E3B3E">
      <w:pPr>
        <w:spacing w:after="0" w:line="240" w:lineRule="auto"/>
        <w:jc w:val="both"/>
        <w:rPr>
          <w:sz w:val="20"/>
          <w:szCs w:val="20"/>
        </w:rPr>
      </w:pPr>
      <w:r w:rsidRPr="005C0061">
        <w:rPr>
          <w:sz w:val="20"/>
          <w:szCs w:val="20"/>
        </w:rPr>
        <w:pict w14:anchorId="4A73E535">
          <v:rect id="_x0000_i106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5C0061" w:rsidRPr="005C0061" w14:paraId="26B9393F" w14:textId="77777777" w:rsidTr="006850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333A84" w14:textId="32164C25" w:rsidR="005C0061" w:rsidRPr="005C0061" w:rsidRDefault="005C0061" w:rsidP="001E3B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C0061">
              <w:rPr>
                <w:sz w:val="20"/>
                <w:szCs w:val="20"/>
              </w:rPr>
              <w:drawing>
                <wp:inline distT="0" distB="0" distL="0" distR="0" wp14:anchorId="5B2CF725" wp14:editId="27402E49">
                  <wp:extent cx="845820" cy="571500"/>
                  <wp:effectExtent l="0" t="0" r="0" b="0"/>
                  <wp:docPr id="1095234467" name="Imagem 5" descr="Interface gráfica do usuário&#10;&#10;O conteúdo gerado por IA pode estar incorre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234467" name="Imagem 5" descr="Interface gráfica do usuário&#10;&#10;O conteúdo gerado por IA pode estar incorre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158CCE4" w14:textId="77777777" w:rsidR="005C0061" w:rsidRPr="005C0061" w:rsidRDefault="005C0061" w:rsidP="001E3B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C0061">
              <w:rPr>
                <w:sz w:val="20"/>
                <w:szCs w:val="20"/>
              </w:rPr>
              <w:t>Documento assinado eletronicamente por </w:t>
            </w:r>
            <w:r w:rsidRPr="005C0061">
              <w:rPr>
                <w:b/>
                <w:bCs/>
                <w:sz w:val="20"/>
                <w:szCs w:val="20"/>
              </w:rPr>
              <w:t>ANTONIO CARLOS ALENCAR DO NASCIMENTO</w:t>
            </w:r>
            <w:r w:rsidRPr="005C0061">
              <w:rPr>
                <w:sz w:val="20"/>
                <w:szCs w:val="20"/>
              </w:rPr>
              <w:t>, </w:t>
            </w:r>
            <w:r w:rsidRPr="005C0061">
              <w:rPr>
                <w:b/>
                <w:bCs/>
                <w:sz w:val="20"/>
                <w:szCs w:val="20"/>
              </w:rPr>
              <w:t>Coordenador(a)</w:t>
            </w:r>
            <w:r w:rsidRPr="005C0061">
              <w:rPr>
                <w:sz w:val="20"/>
                <w:szCs w:val="20"/>
              </w:rPr>
              <w:t>, em 14/05/2025, às 14:55, conforme horário oficial de Brasília, com fundamento no artigo 18 caput e seus §§ 1º e 2º, do </w:t>
            </w:r>
            <w:hyperlink r:id="rId9" w:tgtFrame="_blank" w:tooltip="Acesse o Decreto" w:history="1">
              <w:r w:rsidRPr="005C0061">
                <w:rPr>
                  <w:rStyle w:val="Hyperlink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2AD5E760" w14:textId="77777777" w:rsidR="005C0061" w:rsidRPr="005C0061" w:rsidRDefault="005C0061" w:rsidP="001E3B3E">
      <w:pPr>
        <w:spacing w:after="0" w:line="240" w:lineRule="auto"/>
        <w:jc w:val="both"/>
        <w:rPr>
          <w:sz w:val="20"/>
          <w:szCs w:val="20"/>
        </w:rPr>
      </w:pPr>
      <w:r w:rsidRPr="005C0061">
        <w:rPr>
          <w:sz w:val="20"/>
          <w:szCs w:val="20"/>
        </w:rPr>
        <w:pict w14:anchorId="67123EED">
          <v:rect id="_x0000_i106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5C0061" w:rsidRPr="005C0061" w14:paraId="2A90B856" w14:textId="77777777" w:rsidTr="006850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1A1E45" w14:textId="54E60BFD" w:rsidR="005C0061" w:rsidRPr="005C0061" w:rsidRDefault="005C0061" w:rsidP="001E3B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C0061">
              <w:rPr>
                <w:sz w:val="20"/>
                <w:szCs w:val="20"/>
              </w:rPr>
              <w:drawing>
                <wp:inline distT="0" distB="0" distL="0" distR="0" wp14:anchorId="4204E6EF" wp14:editId="643C6BC0">
                  <wp:extent cx="822960" cy="822960"/>
                  <wp:effectExtent l="0" t="0" r="0" b="0"/>
                  <wp:docPr id="918822185" name="Imagem 4" descr="Código QR&#10;&#10;O conteúdo gerado por IA pode estar incorre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8822185" name="Imagem 4" descr="Código QR&#10;&#10;O conteúdo gerado por IA pode estar incorre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4083972" w14:textId="77777777" w:rsidR="005C0061" w:rsidRPr="005C0061" w:rsidRDefault="005C0061" w:rsidP="001E3B3E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C0061">
              <w:rPr>
                <w:sz w:val="20"/>
                <w:szCs w:val="20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5C0061">
                <w:rPr>
                  <w:rStyle w:val="Hyperlink"/>
                  <w:sz w:val="20"/>
                  <w:szCs w:val="20"/>
                </w:rPr>
                <w:t>portal do SEI</w:t>
              </w:r>
            </w:hyperlink>
            <w:r w:rsidRPr="005C0061">
              <w:rPr>
                <w:sz w:val="20"/>
                <w:szCs w:val="20"/>
              </w:rPr>
              <w:t>, informando o código verificador </w:t>
            </w:r>
            <w:r w:rsidRPr="005C0061">
              <w:rPr>
                <w:b/>
                <w:bCs/>
                <w:sz w:val="20"/>
                <w:szCs w:val="20"/>
              </w:rPr>
              <w:t>0060040281</w:t>
            </w:r>
            <w:r w:rsidRPr="005C0061">
              <w:rPr>
                <w:sz w:val="20"/>
                <w:szCs w:val="20"/>
              </w:rPr>
              <w:t> e o código CRC </w:t>
            </w:r>
            <w:r w:rsidRPr="005C0061">
              <w:rPr>
                <w:b/>
                <w:bCs/>
                <w:sz w:val="20"/>
                <w:szCs w:val="20"/>
              </w:rPr>
              <w:t>A5289C48</w:t>
            </w:r>
            <w:r w:rsidRPr="005C0061">
              <w:rPr>
                <w:sz w:val="20"/>
                <w:szCs w:val="20"/>
              </w:rPr>
              <w:t>.</w:t>
            </w:r>
          </w:p>
        </w:tc>
      </w:tr>
    </w:tbl>
    <w:p w14:paraId="54606B93" w14:textId="2343A580" w:rsidR="001361F3" w:rsidRPr="005C0061" w:rsidRDefault="005C0061" w:rsidP="001E3B3E">
      <w:pPr>
        <w:spacing w:after="0" w:line="240" w:lineRule="auto"/>
        <w:jc w:val="both"/>
      </w:pPr>
      <w:r w:rsidRPr="005C0061">
        <w:rPr>
          <w:sz w:val="20"/>
          <w:szCs w:val="20"/>
        </w:rPr>
        <w:pict w14:anchorId="511C3AB0">
          <v:rect id="_x0000_i1069" style="width:0;height:1.5pt" o:hralign="center" o:hrstd="t" o:hr="t" fillcolor="#a0a0a0" stroked="f"/>
        </w:pict>
      </w:r>
    </w:p>
    <w:sectPr w:rsidR="001361F3" w:rsidRPr="005C0061" w:rsidSect="005C0061">
      <w:pgSz w:w="11906" w:h="16838"/>
      <w:pgMar w:top="567" w:right="567" w:bottom="567" w:left="5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B2C"/>
    <w:rsid w:val="000B6B2C"/>
    <w:rsid w:val="001361F3"/>
    <w:rsid w:val="001E3B3E"/>
    <w:rsid w:val="00377A3E"/>
    <w:rsid w:val="0054195B"/>
    <w:rsid w:val="005C0061"/>
    <w:rsid w:val="006842CC"/>
    <w:rsid w:val="00684732"/>
    <w:rsid w:val="00795937"/>
    <w:rsid w:val="008B0774"/>
    <w:rsid w:val="00A809EF"/>
    <w:rsid w:val="00AE2053"/>
    <w:rsid w:val="00C05933"/>
    <w:rsid w:val="00D8028E"/>
    <w:rsid w:val="00DE4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7011869"/>
  <w15:chartTrackingRefBased/>
  <w15:docId w15:val="{F6FEBC27-ED63-4B32-8F0F-AA9A0B4F1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809EF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A809EF"/>
    <w:rPr>
      <w:color w:val="0000FF"/>
      <w:u w:val="single"/>
    </w:rPr>
  </w:style>
  <w:style w:type="paragraph" w:customStyle="1" w:styleId="newtextojustificadorecuoprimeiralinha">
    <w:name w:val="new_texto_justificado_recuo_primeira_linha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esquerda">
    <w:name w:val="new_tabela_texto_alinhado_esquerda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direita">
    <w:name w:val="new_texto_alinhado_direita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A809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MenoPendente">
    <w:name w:val="Unresolved Mention"/>
    <w:basedOn w:val="Fontepargpadro"/>
    <w:uiPriority w:val="99"/>
    <w:semiHidden/>
    <w:unhideWhenUsed/>
    <w:rsid w:val="005C00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2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2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14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458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458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1989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846</Words>
  <Characters>4574</Characters>
  <Application>Microsoft Office Word</Application>
  <DocSecurity>0</DocSecurity>
  <Lines>38</Lines>
  <Paragraphs>10</Paragraphs>
  <ScaleCrop>false</ScaleCrop>
  <Company/>
  <LinksUpToDate>false</LinksUpToDate>
  <CharactersWithSpaces>5410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22/2025/GAB/CRE</dc:title>
  <dc:subject>Disciplina a ampliação do prazo de pagamento do ICMS devido, cujos fatos geradores tenham ocorrido no âmbito da Rondônia Rural Show - RRS/2025.</dc:subject>
  <dc:creator>Mariana C. M. Durães</dc:creator>
  <cp:keywords/>
  <dc:description/>
  <cp:lastModifiedBy>Mariana Cavalcante Maciel</cp:lastModifiedBy>
  <cp:revision>5</cp:revision>
  <dcterms:created xsi:type="dcterms:W3CDTF">2025-05-15T12:32:00Z</dcterms:created>
  <dcterms:modified xsi:type="dcterms:W3CDTF">2025-05-15T12:49:00Z</dcterms:modified>
</cp:coreProperties>
</file>