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5B91B5" w14:textId="77777777" w:rsidR="00D76D56" w:rsidRDefault="008C7D78" w:rsidP="00D76D56">
      <w:pPr>
        <w:rPr>
          <w:rFonts w:ascii="Calibri" w:hAnsi="Calibri" w:cs="Calibri"/>
          <w:color w:val="FF0000"/>
          <w:sz w:val="20"/>
          <w:szCs w:val="20"/>
        </w:rPr>
      </w:pPr>
      <w:r w:rsidRPr="008C7D78">
        <w:rPr>
          <w:rFonts w:ascii="Calibri" w:hAnsi="Calibri" w:cs="Calibri"/>
          <w:sz w:val="24"/>
          <w:szCs w:val="24"/>
        </w:rPr>
        <w:t> </w:t>
      </w:r>
      <w:r w:rsidR="00D76D56" w:rsidRPr="004C1A0F">
        <w:rPr>
          <w:rFonts w:ascii="Calibri" w:hAnsi="Calibri" w:cs="Calibri"/>
          <w:color w:val="FF0000"/>
          <w:sz w:val="20"/>
          <w:szCs w:val="20"/>
        </w:rPr>
        <w:t xml:space="preserve">* Este texto não substitui o publicado no DOE. </w:t>
      </w:r>
    </w:p>
    <w:p w14:paraId="28F1B92D" w14:textId="7721E6BC" w:rsidR="00D76D56" w:rsidRPr="001C5B9F" w:rsidRDefault="00D76D56" w:rsidP="00D76D56">
      <w:pPr>
        <w:spacing w:after="0" w:line="240" w:lineRule="auto"/>
        <w:rPr>
          <w:rFonts w:ascii="Calibri" w:eastAsia="Times New Roman" w:hAnsi="Calibri" w:cs="Calibri"/>
          <w:color w:val="000000"/>
          <w:sz w:val="20"/>
          <w:szCs w:val="20"/>
          <w:lang w:eastAsia="pt-BR"/>
        </w:rPr>
      </w:pPr>
      <w:r w:rsidRPr="001C5B9F">
        <w:rPr>
          <w:rFonts w:ascii="Calibri" w:eastAsia="Times New Roman" w:hAnsi="Calibri" w:cs="Calibri"/>
          <w:color w:val="000000"/>
          <w:sz w:val="20"/>
          <w:szCs w:val="20"/>
          <w:lang w:eastAsia="pt-BR"/>
        </w:rPr>
        <w:t>Diário Oficial do Estado de Rondônia nº 1</w:t>
      </w:r>
      <w:r>
        <w:rPr>
          <w:rFonts w:ascii="Calibri" w:eastAsia="Times New Roman" w:hAnsi="Calibri" w:cs="Calibri"/>
          <w:color w:val="000000"/>
          <w:sz w:val="20"/>
          <w:szCs w:val="20"/>
          <w:lang w:eastAsia="pt-BR"/>
        </w:rPr>
        <w:t>7</w:t>
      </w:r>
      <w:r w:rsidR="009E483D">
        <w:rPr>
          <w:rFonts w:ascii="Calibri" w:eastAsia="Times New Roman" w:hAnsi="Calibri" w:cs="Calibri"/>
          <w:color w:val="000000"/>
          <w:sz w:val="20"/>
          <w:szCs w:val="20"/>
          <w:lang w:eastAsia="pt-BR"/>
        </w:rPr>
        <w:t>8</w:t>
      </w:r>
      <w:r w:rsidRPr="001C5B9F">
        <w:rPr>
          <w:rFonts w:ascii="Calibri" w:eastAsia="Times New Roman" w:hAnsi="Calibri" w:cs="Calibri"/>
          <w:color w:val="000000"/>
          <w:sz w:val="20"/>
          <w:szCs w:val="20"/>
          <w:lang w:eastAsia="pt-BR"/>
        </w:rPr>
        <w:br/>
        <w:t xml:space="preserve">Disponibilização: </w:t>
      </w:r>
      <w:r w:rsidR="009E483D">
        <w:rPr>
          <w:rFonts w:ascii="Calibri" w:eastAsia="Times New Roman" w:hAnsi="Calibri" w:cs="Calibri"/>
          <w:color w:val="000000"/>
          <w:sz w:val="20"/>
          <w:szCs w:val="20"/>
          <w:lang w:eastAsia="pt-BR"/>
        </w:rPr>
        <w:t>20</w:t>
      </w:r>
      <w:r w:rsidRPr="001C5B9F">
        <w:rPr>
          <w:rFonts w:ascii="Calibri" w:eastAsia="Times New Roman" w:hAnsi="Calibri" w:cs="Calibri"/>
          <w:color w:val="000000"/>
          <w:sz w:val="20"/>
          <w:szCs w:val="20"/>
          <w:lang w:eastAsia="pt-BR"/>
        </w:rPr>
        <w:t>/09/2024</w:t>
      </w:r>
      <w:r w:rsidRPr="001C5B9F">
        <w:rPr>
          <w:rFonts w:ascii="Calibri" w:eastAsia="Times New Roman" w:hAnsi="Calibri" w:cs="Calibri"/>
          <w:color w:val="000000"/>
          <w:sz w:val="20"/>
          <w:szCs w:val="20"/>
          <w:lang w:eastAsia="pt-BR"/>
        </w:rPr>
        <w:br/>
        <w:t xml:space="preserve">Publicação: </w:t>
      </w:r>
      <w:r w:rsidR="009E483D">
        <w:rPr>
          <w:rFonts w:ascii="Calibri" w:eastAsia="Times New Roman" w:hAnsi="Calibri" w:cs="Calibri"/>
          <w:color w:val="000000"/>
          <w:sz w:val="20"/>
          <w:szCs w:val="20"/>
          <w:lang w:eastAsia="pt-BR"/>
        </w:rPr>
        <w:t>20</w:t>
      </w:r>
      <w:r>
        <w:rPr>
          <w:rFonts w:ascii="Calibri" w:eastAsia="Times New Roman" w:hAnsi="Calibri" w:cs="Calibri"/>
          <w:color w:val="000000"/>
          <w:sz w:val="20"/>
          <w:szCs w:val="20"/>
          <w:lang w:eastAsia="pt-BR"/>
        </w:rPr>
        <w:t>/0</w:t>
      </w:r>
      <w:r w:rsidRPr="001C5B9F">
        <w:rPr>
          <w:rFonts w:ascii="Calibri" w:eastAsia="Times New Roman" w:hAnsi="Calibri" w:cs="Calibri"/>
          <w:color w:val="000000"/>
          <w:sz w:val="20"/>
          <w:szCs w:val="20"/>
          <w:lang w:eastAsia="pt-BR"/>
        </w:rPr>
        <w:t>9/2024</w:t>
      </w:r>
    </w:p>
    <w:p w14:paraId="5C535449" w14:textId="14E120DB" w:rsidR="008C7D78" w:rsidRPr="008C7D78" w:rsidRDefault="00CB6BD9" w:rsidP="00CB6BD9">
      <w:pPr>
        <w:jc w:val="center"/>
        <w:rPr>
          <w:rFonts w:ascii="Calibri" w:hAnsi="Calibri" w:cs="Calibri"/>
          <w:sz w:val="24"/>
          <w:szCs w:val="24"/>
        </w:rPr>
      </w:pPr>
      <w:r>
        <w:rPr>
          <w:rFonts w:eastAsia="Times New Roman" w:cstheme="minorHAnsi"/>
          <w:noProof/>
          <w:color w:val="000000"/>
          <w:sz w:val="24"/>
          <w:szCs w:val="24"/>
          <w:lang w:eastAsia="pt-BR"/>
        </w:rPr>
        <w:drawing>
          <wp:inline distT="0" distB="0" distL="0" distR="0" wp14:anchorId="1BB635BF" wp14:editId="38389F1A">
            <wp:extent cx="1449727" cy="1113183"/>
            <wp:effectExtent l="0" t="0" r="0" b="0"/>
            <wp:docPr id="3" name="Imagem 3" descr="Imagem digital fictícia de personagem de desenho animad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Imagem digital fictícia de personagem de desenho animado&#10;&#10;Descrição gerada automaticamente com confiança baixa"/>
                    <pic:cNvPicPr/>
                  </pic:nvPicPr>
                  <pic:blipFill>
                    <a:blip r:embed="rId4">
                      <a:extLst>
                        <a:ext uri="{28A0092B-C50C-407E-A947-70E740481C1C}">
                          <a14:useLocalDpi xmlns:a14="http://schemas.microsoft.com/office/drawing/2010/main" val="0"/>
                        </a:ext>
                      </a:extLst>
                    </a:blip>
                    <a:stretch>
                      <a:fillRect/>
                    </a:stretch>
                  </pic:blipFill>
                  <pic:spPr>
                    <a:xfrm>
                      <a:off x="0" y="0"/>
                      <a:ext cx="1455761" cy="1117816"/>
                    </a:xfrm>
                    <a:prstGeom prst="rect">
                      <a:avLst/>
                    </a:prstGeom>
                  </pic:spPr>
                </pic:pic>
              </a:graphicData>
            </a:graphic>
          </wp:inline>
        </w:drawing>
      </w:r>
    </w:p>
    <w:p w14:paraId="2BE9518A" w14:textId="77777777" w:rsidR="008C7D78" w:rsidRPr="008C7D78" w:rsidRDefault="008C7D78" w:rsidP="002F6639">
      <w:pPr>
        <w:spacing w:after="0" w:line="240" w:lineRule="auto"/>
        <w:jc w:val="center"/>
        <w:rPr>
          <w:rFonts w:ascii="Calibri" w:hAnsi="Calibri" w:cs="Calibri"/>
          <w:sz w:val="24"/>
          <w:szCs w:val="24"/>
        </w:rPr>
      </w:pPr>
      <w:r w:rsidRPr="008C7D78">
        <w:rPr>
          <w:rFonts w:ascii="Calibri" w:hAnsi="Calibri" w:cs="Calibri"/>
          <w:sz w:val="24"/>
          <w:szCs w:val="24"/>
        </w:rPr>
        <w:t>GOVERNO DO ESTADO DE RONDÔNIA</w:t>
      </w:r>
    </w:p>
    <w:p w14:paraId="30E9EC6E" w14:textId="2667F09E" w:rsidR="008C7D78" w:rsidRDefault="008C7D78" w:rsidP="002F6639">
      <w:pPr>
        <w:spacing w:after="0" w:line="240" w:lineRule="auto"/>
        <w:jc w:val="center"/>
        <w:rPr>
          <w:rFonts w:ascii="Calibri" w:hAnsi="Calibri" w:cs="Calibri"/>
          <w:sz w:val="24"/>
          <w:szCs w:val="24"/>
        </w:rPr>
      </w:pPr>
      <w:r w:rsidRPr="008C7D78">
        <w:rPr>
          <w:rFonts w:ascii="Calibri" w:hAnsi="Calibri" w:cs="Calibri"/>
          <w:sz w:val="24"/>
          <w:szCs w:val="24"/>
        </w:rPr>
        <w:t xml:space="preserve">Secretaria de Estado de Finanças </w:t>
      </w:r>
      <w:r w:rsidR="009E483D">
        <w:rPr>
          <w:rFonts w:ascii="Calibri" w:hAnsi="Calibri" w:cs="Calibri"/>
          <w:sz w:val="24"/>
          <w:szCs w:val="24"/>
        </w:rPr>
        <w:t>–</w:t>
      </w:r>
      <w:r w:rsidRPr="008C7D78">
        <w:rPr>
          <w:rFonts w:ascii="Calibri" w:hAnsi="Calibri" w:cs="Calibri"/>
          <w:sz w:val="24"/>
          <w:szCs w:val="24"/>
        </w:rPr>
        <w:t xml:space="preserve"> SEFIN</w:t>
      </w:r>
    </w:p>
    <w:p w14:paraId="1D8603C7" w14:textId="7C86A4CD" w:rsidR="009E483D" w:rsidRDefault="009E483D" w:rsidP="002F6639">
      <w:pPr>
        <w:spacing w:after="0" w:line="240" w:lineRule="auto"/>
        <w:jc w:val="center"/>
        <w:rPr>
          <w:rFonts w:ascii="Calibri" w:hAnsi="Calibri" w:cs="Calibri"/>
          <w:b/>
          <w:bCs/>
          <w:sz w:val="24"/>
          <w:szCs w:val="24"/>
        </w:rPr>
      </w:pPr>
      <w:r w:rsidRPr="009E483D">
        <w:rPr>
          <w:rFonts w:ascii="Calibri" w:hAnsi="Calibri" w:cs="Calibri"/>
          <w:b/>
          <w:bCs/>
          <w:sz w:val="24"/>
          <w:szCs w:val="24"/>
        </w:rPr>
        <w:t>RESOLUÇÃO Nº 02/2024/SEFIN/GAB/CRE</w:t>
      </w:r>
    </w:p>
    <w:p w14:paraId="00BBB3AB" w14:textId="77777777" w:rsidR="009E483D" w:rsidRPr="008C7D78" w:rsidRDefault="009E483D" w:rsidP="002F6639">
      <w:pPr>
        <w:spacing w:after="0" w:line="240" w:lineRule="auto"/>
        <w:jc w:val="center"/>
        <w:rPr>
          <w:rFonts w:ascii="Calibri" w:hAnsi="Calibri" w:cs="Calibri"/>
          <w:sz w:val="24"/>
          <w:szCs w:val="24"/>
        </w:rPr>
      </w:pPr>
    </w:p>
    <w:p w14:paraId="4E0E2699" w14:textId="416182BA" w:rsidR="009E483D" w:rsidRDefault="009E483D" w:rsidP="009E483D">
      <w:pPr>
        <w:ind w:left="3544"/>
        <w:jc w:val="both"/>
        <w:rPr>
          <w:rFonts w:ascii="Calibri" w:hAnsi="Calibri" w:cs="Calibri"/>
          <w:sz w:val="24"/>
          <w:szCs w:val="24"/>
        </w:rPr>
      </w:pPr>
      <w:r w:rsidRPr="009E483D">
        <w:rPr>
          <w:rFonts w:ascii="Calibri" w:hAnsi="Calibri" w:cs="Calibri"/>
          <w:sz w:val="24"/>
          <w:szCs w:val="24"/>
        </w:rPr>
        <w:t>Altera e acresce dispositivos à Resolução nº 01/2023/SEFIN/GAB/CRE, a qual "Autoriza de forma extraordinária a remessa de Gás Liquefeito de Petróleo (GLP) e gás liquefeito derivado de gás natural (GLGN), nos casos em que especifica, e dá outras providências".</w:t>
      </w:r>
    </w:p>
    <w:p w14:paraId="5BFB3FF7" w14:textId="77777777" w:rsidR="009E483D" w:rsidRDefault="009E483D" w:rsidP="009E483D">
      <w:pPr>
        <w:jc w:val="both"/>
        <w:rPr>
          <w:rFonts w:ascii="Calibri" w:hAnsi="Calibri" w:cs="Calibri"/>
          <w:sz w:val="24"/>
          <w:szCs w:val="24"/>
        </w:rPr>
      </w:pPr>
    </w:p>
    <w:p w14:paraId="7C93E650" w14:textId="0FEB968C" w:rsidR="009E483D" w:rsidRPr="009E483D" w:rsidRDefault="009E483D" w:rsidP="009E483D">
      <w:pPr>
        <w:jc w:val="both"/>
        <w:rPr>
          <w:rFonts w:ascii="Calibri" w:hAnsi="Calibri" w:cs="Calibri"/>
          <w:sz w:val="24"/>
          <w:szCs w:val="24"/>
        </w:rPr>
      </w:pPr>
      <w:r w:rsidRPr="009E483D">
        <w:rPr>
          <w:rFonts w:ascii="Calibri" w:hAnsi="Calibri" w:cs="Calibri"/>
          <w:sz w:val="24"/>
          <w:szCs w:val="24"/>
        </w:rPr>
        <w:t>O </w:t>
      </w:r>
      <w:r w:rsidRPr="009E483D">
        <w:rPr>
          <w:rFonts w:ascii="Calibri" w:hAnsi="Calibri" w:cs="Calibri"/>
          <w:b/>
          <w:bCs/>
          <w:sz w:val="24"/>
          <w:szCs w:val="24"/>
        </w:rPr>
        <w:t>COORDENADOR-GERAL DA RECEITA ESTADUAL</w:t>
      </w:r>
      <w:r w:rsidRPr="009E483D">
        <w:rPr>
          <w:rFonts w:ascii="Calibri" w:hAnsi="Calibri" w:cs="Calibri"/>
          <w:sz w:val="24"/>
          <w:szCs w:val="24"/>
        </w:rPr>
        <w:t>, no uso de suas atribuições legais,</w:t>
      </w:r>
    </w:p>
    <w:p w14:paraId="50F7966E"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4552CE1B" w14:textId="77777777" w:rsidR="009E483D" w:rsidRPr="009E483D" w:rsidRDefault="009E483D" w:rsidP="009E483D">
      <w:pPr>
        <w:jc w:val="both"/>
        <w:rPr>
          <w:rFonts w:ascii="Calibri" w:hAnsi="Calibri" w:cs="Calibri"/>
          <w:sz w:val="24"/>
          <w:szCs w:val="24"/>
        </w:rPr>
      </w:pPr>
      <w:r w:rsidRPr="009E483D">
        <w:rPr>
          <w:rFonts w:ascii="Calibri" w:hAnsi="Calibri" w:cs="Calibri"/>
          <w:b/>
          <w:bCs/>
          <w:sz w:val="24"/>
          <w:szCs w:val="24"/>
        </w:rPr>
        <w:t>CONSIDERANDO </w:t>
      </w:r>
      <w:r w:rsidRPr="009E483D">
        <w:rPr>
          <w:rFonts w:ascii="Calibri" w:hAnsi="Calibri" w:cs="Calibri"/>
          <w:sz w:val="24"/>
          <w:szCs w:val="24"/>
        </w:rPr>
        <w:t xml:space="preserve">a necessidade de aprimorar a legislação vigente a respeito da alteração do modal fluvial para o modal rodoviário, </w:t>
      </w:r>
      <w:proofErr w:type="gramStart"/>
      <w:r w:rsidRPr="009E483D">
        <w:rPr>
          <w:rFonts w:ascii="Calibri" w:hAnsi="Calibri" w:cs="Calibri"/>
          <w:sz w:val="24"/>
          <w:szCs w:val="24"/>
        </w:rPr>
        <w:t>e também</w:t>
      </w:r>
      <w:proofErr w:type="gramEnd"/>
      <w:r w:rsidRPr="009E483D">
        <w:rPr>
          <w:rFonts w:ascii="Calibri" w:hAnsi="Calibri" w:cs="Calibri"/>
          <w:sz w:val="24"/>
          <w:szCs w:val="24"/>
        </w:rPr>
        <w:t xml:space="preserve"> para o transporte fluvial em embarcações aquáticas de menor calado, em face da alarmante seca do Rio Madeira, que pode ocasionar um desabastecimento de gás liquefeito de petróleo (GLP) e gás liquefeito derivado de gás natural (GLGN), atividade essencial para economia do Estado;</w:t>
      </w:r>
    </w:p>
    <w:p w14:paraId="14B9BAFA"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3446C224" w14:textId="77777777" w:rsidR="009E483D" w:rsidRPr="009E483D" w:rsidRDefault="009E483D" w:rsidP="009E483D">
      <w:pPr>
        <w:jc w:val="both"/>
        <w:rPr>
          <w:rFonts w:ascii="Calibri" w:hAnsi="Calibri" w:cs="Calibri"/>
          <w:sz w:val="24"/>
          <w:szCs w:val="24"/>
        </w:rPr>
      </w:pPr>
      <w:r w:rsidRPr="009E483D">
        <w:rPr>
          <w:rFonts w:ascii="Calibri" w:hAnsi="Calibri" w:cs="Calibri"/>
          <w:b/>
          <w:bCs/>
          <w:sz w:val="24"/>
          <w:szCs w:val="24"/>
          <w:u w:val="single"/>
        </w:rPr>
        <w:t>R E S O L V E:</w:t>
      </w:r>
    </w:p>
    <w:p w14:paraId="1992B732"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2C8AC405" w14:textId="77777777" w:rsidR="009E483D" w:rsidRPr="009E483D" w:rsidRDefault="009E483D" w:rsidP="009E483D">
      <w:pPr>
        <w:jc w:val="both"/>
        <w:rPr>
          <w:rFonts w:ascii="Calibri" w:hAnsi="Calibri" w:cs="Calibri"/>
          <w:sz w:val="24"/>
          <w:szCs w:val="24"/>
        </w:rPr>
      </w:pPr>
      <w:r w:rsidRPr="009E483D">
        <w:rPr>
          <w:rFonts w:ascii="Calibri" w:hAnsi="Calibri" w:cs="Calibri"/>
          <w:b/>
          <w:bCs/>
          <w:sz w:val="24"/>
          <w:szCs w:val="24"/>
        </w:rPr>
        <w:t>Art. 1º </w:t>
      </w:r>
      <w:r w:rsidRPr="009E483D">
        <w:rPr>
          <w:rFonts w:ascii="Calibri" w:hAnsi="Calibri" w:cs="Calibri"/>
          <w:sz w:val="24"/>
          <w:szCs w:val="24"/>
        </w:rPr>
        <w:t>O caput do art. 1º e o Anexo Único da Resolução nº 01/2023/SEFIN/GAB/CRE, a qual "Autoriza de forma extraordinária a remessa de Gás Liquefeito de Petróleo (GLP) e gás liquefeito derivado de gás natural (GLGN), nos casos em que especifica, e dá outras providências", passa a vigorar com a seguinte alteração:</w:t>
      </w:r>
    </w:p>
    <w:p w14:paraId="628EB8E6"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18583B87"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"Art. 1º Autorizar de forma extraordinária, pelo período de 90 (noventa) dias, que as entradas de gás liquefeito de petróleo (GLP), gás liquefeito derivado de gás natural (GLGN), para distribuidoras de gás estabelecidas em Porto Velho/RO, ou também que as entradas de combustíveis para os seus adquirentes, ocorram com notas fiscais de entrada, emitidas após o transbordo, no município de Humaitá/AM, de embarcação para caminhões da mesma empresa, ou ainda, em caso de dificuldade de navegação, em outro ponto do Rio Madeira, das embarcações de maior calado para outra de menor calado, para possibilitar o transporte aquaviário das mercadorias, nas quais deverão constar:</w:t>
      </w:r>
    </w:p>
    <w:p w14:paraId="0BF07A12"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2387B7B8"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w:t>
      </w:r>
    </w:p>
    <w:p w14:paraId="637C5C8D" w14:textId="77777777" w:rsidR="008070F1" w:rsidRDefault="008070F1" w:rsidP="00DA2462">
      <w:pPr>
        <w:jc w:val="center"/>
        <w:rPr>
          <w:rFonts w:ascii="Calibri" w:hAnsi="Calibri" w:cs="Calibri"/>
          <w:b/>
          <w:bCs/>
          <w:sz w:val="24"/>
          <w:szCs w:val="24"/>
        </w:rPr>
      </w:pPr>
    </w:p>
    <w:p w14:paraId="3D80CE28" w14:textId="77777777" w:rsidR="008070F1" w:rsidRDefault="008070F1" w:rsidP="00DA2462">
      <w:pPr>
        <w:jc w:val="center"/>
        <w:rPr>
          <w:rFonts w:ascii="Calibri" w:hAnsi="Calibri" w:cs="Calibri"/>
          <w:b/>
          <w:bCs/>
          <w:sz w:val="24"/>
          <w:szCs w:val="24"/>
        </w:rPr>
      </w:pPr>
    </w:p>
    <w:p w14:paraId="14215474" w14:textId="16C5CE1C" w:rsidR="009E483D" w:rsidRPr="009E483D" w:rsidRDefault="009E483D" w:rsidP="00DA2462">
      <w:pPr>
        <w:jc w:val="center"/>
        <w:rPr>
          <w:rFonts w:ascii="Calibri" w:hAnsi="Calibri" w:cs="Calibri"/>
          <w:sz w:val="24"/>
          <w:szCs w:val="24"/>
        </w:rPr>
      </w:pPr>
      <w:r w:rsidRPr="009E483D">
        <w:rPr>
          <w:rFonts w:ascii="Calibri" w:hAnsi="Calibri" w:cs="Calibri"/>
          <w:b/>
          <w:bCs/>
          <w:sz w:val="24"/>
          <w:szCs w:val="24"/>
        </w:rPr>
        <w:t>ANEXO ÚNICO</w:t>
      </w:r>
    </w:p>
    <w:p w14:paraId="5DB1B2DE" w14:textId="77777777" w:rsidR="009E483D" w:rsidRPr="009E483D" w:rsidRDefault="009E483D" w:rsidP="00DA2462">
      <w:pPr>
        <w:jc w:val="center"/>
        <w:rPr>
          <w:rFonts w:ascii="Calibri" w:hAnsi="Calibri" w:cs="Calibri"/>
          <w:sz w:val="24"/>
          <w:szCs w:val="24"/>
        </w:rPr>
      </w:pPr>
      <w:r w:rsidRPr="009E483D">
        <w:rPr>
          <w:rFonts w:ascii="Calibri" w:hAnsi="Calibri" w:cs="Calibri"/>
          <w:sz w:val="24"/>
          <w:szCs w:val="24"/>
        </w:rPr>
        <w:lastRenderedPageBreak/>
        <w:t>AUTORIZAÇÃO Nº XX/202X/CRE/GEFIS</w:t>
      </w:r>
    </w:p>
    <w:p w14:paraId="62433515" w14:textId="5DE49935" w:rsidR="009E483D" w:rsidRPr="009E483D" w:rsidRDefault="00DA2462" w:rsidP="009E483D">
      <w:pPr>
        <w:jc w:val="both"/>
        <w:rPr>
          <w:rFonts w:ascii="Calibri" w:hAnsi="Calibri" w:cs="Calibri"/>
          <w:sz w:val="24"/>
          <w:szCs w:val="24"/>
        </w:rPr>
      </w:pPr>
      <w:r>
        <w:rPr>
          <w:rFonts w:ascii="Calibri" w:hAnsi="Calibri" w:cs="Calibri"/>
          <w:sz w:val="24"/>
          <w:szCs w:val="24"/>
        </w:rPr>
        <w:t>C</w:t>
      </w:r>
      <w:r w:rsidR="009E483D" w:rsidRPr="009E483D">
        <w:rPr>
          <w:rFonts w:ascii="Calibri" w:hAnsi="Calibri" w:cs="Calibri"/>
          <w:sz w:val="24"/>
          <w:szCs w:val="24"/>
        </w:rPr>
        <w:t xml:space="preserve">onsiderando a RESOLUÇÃO Nº 01/2023/GAB/CRE, para evitar um possível desabastecimento de Gás Liquefeito de Petróleo (GLP), gás liquefeito derivado de gás natural (GLGN), e demais combustíveis, em decorrência da seca crítica que aflige a região Norte, especialmente o Rio Madeira, e em razão de a empresa </w:t>
      </w:r>
      <w:proofErr w:type="spellStart"/>
      <w:r w:rsidR="009E483D" w:rsidRPr="009E483D">
        <w:rPr>
          <w:rFonts w:ascii="Calibri" w:hAnsi="Calibri" w:cs="Calibri"/>
          <w:sz w:val="24"/>
          <w:szCs w:val="24"/>
        </w:rPr>
        <w:t>xxxxxxxxxxxxxxxxxxxx</w:t>
      </w:r>
      <w:proofErr w:type="spellEnd"/>
      <w:r w:rsidR="009E483D" w:rsidRPr="009E483D">
        <w:rPr>
          <w:rFonts w:ascii="Calibri" w:hAnsi="Calibri" w:cs="Calibri"/>
          <w:sz w:val="24"/>
          <w:szCs w:val="24"/>
        </w:rPr>
        <w:t xml:space="preserve"> operar em ramo de atividade essencial, devendo manter a continuidade no fornecimento, </w:t>
      </w:r>
      <w:r w:rsidR="009E483D" w:rsidRPr="009E483D">
        <w:rPr>
          <w:rFonts w:ascii="Calibri" w:hAnsi="Calibri" w:cs="Calibri"/>
          <w:b/>
          <w:bCs/>
          <w:sz w:val="24"/>
          <w:szCs w:val="24"/>
        </w:rPr>
        <w:t>AUTORIZO</w:t>
      </w:r>
      <w:r w:rsidR="009E483D" w:rsidRPr="009E483D">
        <w:rPr>
          <w:rFonts w:ascii="Calibri" w:hAnsi="Calibri" w:cs="Calibri"/>
          <w:sz w:val="24"/>
          <w:szCs w:val="24"/>
        </w:rPr>
        <w:t>, pelo prazo de 90 (noventa) dias, a entrada em Rondônia dos veículos carregados com esse produto destinado ao contribuinte acima citado, com carga acobertada por notas fiscais de entrada com CFOP 2.949 – “Outra entrada de mercadoria ou prestação de serviço não especificado” e MDF-e.</w:t>
      </w:r>
    </w:p>
    <w:p w14:paraId="47584005"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Referida carga decorrerá de transbordo no Município de Humaitá de balsa para caminhões de propriedade da destinatária, ou também poderá acontecer em outro ponto do Rio Madeira, quando o transbordo ocorrer das embarcações de maior calado para outras de menor calado, para possibilitar o transporte aquaviário das mercadorias.</w:t>
      </w:r>
    </w:p>
    <w:p w14:paraId="1F9CCE0B"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As notas fiscais de entrada deverão referenciar a nota de venda de emissão da PETROBRÁS.</w:t>
      </w:r>
    </w:p>
    <w:p w14:paraId="5D9947BF"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Ressalta-se que a presente autorização compreende apenas os aspectos fiscais relativos ao ICMS.</w:t>
      </w:r>
    </w:p>
    <w:p w14:paraId="5C625CBA" w14:textId="6727F5BA" w:rsidR="009E483D" w:rsidRPr="009E483D" w:rsidRDefault="009E483D" w:rsidP="009E483D">
      <w:pPr>
        <w:jc w:val="center"/>
        <w:rPr>
          <w:rFonts w:ascii="Calibri" w:hAnsi="Calibri" w:cs="Calibri"/>
          <w:sz w:val="24"/>
          <w:szCs w:val="24"/>
        </w:rPr>
      </w:pPr>
    </w:p>
    <w:p w14:paraId="448C2C74" w14:textId="77777777" w:rsidR="009E483D" w:rsidRPr="009E483D" w:rsidRDefault="009E483D" w:rsidP="009E483D">
      <w:pPr>
        <w:jc w:val="center"/>
        <w:rPr>
          <w:rFonts w:ascii="Calibri" w:hAnsi="Calibri" w:cs="Calibri"/>
          <w:sz w:val="24"/>
          <w:szCs w:val="24"/>
        </w:rPr>
      </w:pPr>
      <w:r w:rsidRPr="009E483D">
        <w:rPr>
          <w:rFonts w:ascii="Calibri" w:hAnsi="Calibri" w:cs="Calibri"/>
          <w:b/>
          <w:bCs/>
          <w:sz w:val="24"/>
          <w:szCs w:val="24"/>
        </w:rPr>
        <w:t>Nome</w:t>
      </w:r>
    </w:p>
    <w:p w14:paraId="509232A9" w14:textId="77777777" w:rsidR="009E483D" w:rsidRPr="009E483D" w:rsidRDefault="009E483D" w:rsidP="009E483D">
      <w:pPr>
        <w:jc w:val="center"/>
        <w:rPr>
          <w:rFonts w:ascii="Calibri" w:hAnsi="Calibri" w:cs="Calibri"/>
          <w:sz w:val="24"/>
          <w:szCs w:val="24"/>
        </w:rPr>
      </w:pPr>
      <w:r w:rsidRPr="009E483D">
        <w:rPr>
          <w:rFonts w:ascii="Calibri" w:hAnsi="Calibri" w:cs="Calibri"/>
          <w:sz w:val="24"/>
          <w:szCs w:val="24"/>
        </w:rPr>
        <w:t>Gerente de Fiscalização"</w:t>
      </w:r>
    </w:p>
    <w:p w14:paraId="21B471B7" w14:textId="703ABD8C"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227B2D1C" w14:textId="77777777" w:rsidR="009E483D" w:rsidRPr="009E483D" w:rsidRDefault="009E483D" w:rsidP="009E483D">
      <w:pPr>
        <w:jc w:val="both"/>
        <w:rPr>
          <w:rFonts w:ascii="Calibri" w:hAnsi="Calibri" w:cs="Calibri"/>
          <w:sz w:val="24"/>
          <w:szCs w:val="24"/>
        </w:rPr>
      </w:pPr>
      <w:r w:rsidRPr="009E483D">
        <w:rPr>
          <w:rFonts w:ascii="Calibri" w:hAnsi="Calibri" w:cs="Calibri"/>
          <w:b/>
          <w:bCs/>
          <w:sz w:val="24"/>
          <w:szCs w:val="24"/>
        </w:rPr>
        <w:t>Art. 2º </w:t>
      </w:r>
      <w:r w:rsidRPr="009E483D">
        <w:rPr>
          <w:rFonts w:ascii="Calibri" w:hAnsi="Calibri" w:cs="Calibri"/>
          <w:sz w:val="24"/>
          <w:szCs w:val="24"/>
        </w:rPr>
        <w:t>Fica acrescido o art. 2º-B com a seguinte redação:</w:t>
      </w:r>
    </w:p>
    <w:p w14:paraId="6A7E446A"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w:t>
      </w:r>
      <w:r w:rsidRPr="009E483D">
        <w:rPr>
          <w:rFonts w:ascii="Calibri" w:hAnsi="Calibri" w:cs="Calibri"/>
          <w:b/>
          <w:bCs/>
          <w:sz w:val="24"/>
          <w:szCs w:val="24"/>
        </w:rPr>
        <w:t>Art. 2º-B.</w:t>
      </w:r>
      <w:r w:rsidRPr="009E483D">
        <w:rPr>
          <w:rFonts w:ascii="Calibri" w:hAnsi="Calibri" w:cs="Calibri"/>
          <w:sz w:val="24"/>
          <w:szCs w:val="24"/>
        </w:rPr>
        <w:t> O disposto nesta Resolução aplica-se também, no que couber, aos demais combustíveis."</w:t>
      </w:r>
    </w:p>
    <w:p w14:paraId="09138E06"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745C4474" w14:textId="34F78569"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r w:rsidRPr="009E483D">
        <w:rPr>
          <w:rFonts w:ascii="Calibri" w:hAnsi="Calibri" w:cs="Calibri"/>
          <w:b/>
          <w:bCs/>
          <w:sz w:val="24"/>
          <w:szCs w:val="24"/>
        </w:rPr>
        <w:t>Art. 3º </w:t>
      </w:r>
      <w:r w:rsidRPr="009E483D">
        <w:rPr>
          <w:rFonts w:ascii="Calibri" w:hAnsi="Calibri" w:cs="Calibri"/>
          <w:sz w:val="24"/>
          <w:szCs w:val="24"/>
        </w:rPr>
        <w:t>Esta Resolução entra em vigor na data de sua publicação.</w:t>
      </w:r>
    </w:p>
    <w:p w14:paraId="12BB05A3"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2BD3FC7B" w14:textId="77777777" w:rsidR="009E483D" w:rsidRPr="009E483D" w:rsidRDefault="009E483D" w:rsidP="009E483D">
      <w:pPr>
        <w:jc w:val="both"/>
        <w:rPr>
          <w:rFonts w:ascii="Calibri" w:hAnsi="Calibri" w:cs="Calibri"/>
          <w:sz w:val="24"/>
          <w:szCs w:val="24"/>
        </w:rPr>
      </w:pPr>
      <w:r w:rsidRPr="009E483D">
        <w:rPr>
          <w:rFonts w:ascii="Calibri" w:hAnsi="Calibri" w:cs="Calibri"/>
          <w:sz w:val="24"/>
          <w:szCs w:val="24"/>
        </w:rPr>
        <w:t>Porto Velho, 18 de setembro de 2024</w:t>
      </w:r>
    </w:p>
    <w:p w14:paraId="08578E1B" w14:textId="18869501" w:rsidR="009E483D" w:rsidRPr="009E483D" w:rsidRDefault="009E483D" w:rsidP="009E483D">
      <w:pPr>
        <w:jc w:val="both"/>
        <w:rPr>
          <w:rFonts w:ascii="Calibri" w:hAnsi="Calibri" w:cs="Calibri"/>
          <w:sz w:val="24"/>
          <w:szCs w:val="24"/>
        </w:rPr>
      </w:pPr>
      <w:r w:rsidRPr="009E483D">
        <w:rPr>
          <w:rFonts w:ascii="Calibri" w:hAnsi="Calibri" w:cs="Calibri"/>
          <w:sz w:val="24"/>
          <w:szCs w:val="24"/>
        </w:rPr>
        <w:t>  </w:t>
      </w:r>
    </w:p>
    <w:p w14:paraId="21F35955" w14:textId="77777777" w:rsidR="009E483D" w:rsidRPr="009E483D" w:rsidRDefault="009E483D" w:rsidP="009E483D">
      <w:pPr>
        <w:jc w:val="center"/>
        <w:rPr>
          <w:rFonts w:ascii="Calibri" w:hAnsi="Calibri" w:cs="Calibri"/>
          <w:sz w:val="24"/>
          <w:szCs w:val="24"/>
        </w:rPr>
      </w:pPr>
      <w:r w:rsidRPr="009E483D">
        <w:rPr>
          <w:rFonts w:ascii="Calibri" w:hAnsi="Calibri" w:cs="Calibri"/>
          <w:b/>
          <w:bCs/>
          <w:sz w:val="24"/>
          <w:szCs w:val="24"/>
        </w:rPr>
        <w:t>ANTONIO CARLOS ALENCAR DO NASCIMENTO</w:t>
      </w:r>
    </w:p>
    <w:p w14:paraId="0FB6DC36" w14:textId="77777777" w:rsidR="009E483D" w:rsidRPr="009E483D" w:rsidRDefault="009E483D" w:rsidP="009E483D">
      <w:pPr>
        <w:jc w:val="center"/>
        <w:rPr>
          <w:rFonts w:ascii="Calibri" w:hAnsi="Calibri" w:cs="Calibri"/>
          <w:sz w:val="20"/>
          <w:szCs w:val="20"/>
        </w:rPr>
      </w:pPr>
      <w:r w:rsidRPr="009E483D">
        <w:rPr>
          <w:rFonts w:ascii="Calibri" w:hAnsi="Calibri" w:cs="Calibri"/>
          <w:sz w:val="20"/>
          <w:szCs w:val="20"/>
        </w:rPr>
        <w:t>Coordenador-Geral da Receita Estadual</w:t>
      </w:r>
    </w:p>
    <w:p w14:paraId="752ABE48" w14:textId="77777777" w:rsidR="009E483D" w:rsidRPr="009E483D" w:rsidRDefault="009E483D" w:rsidP="009E483D">
      <w:pPr>
        <w:jc w:val="both"/>
        <w:rPr>
          <w:rFonts w:ascii="Calibri" w:hAnsi="Calibri" w:cs="Calibri"/>
          <w:sz w:val="20"/>
          <w:szCs w:val="20"/>
        </w:rPr>
      </w:pPr>
      <w:r w:rsidRPr="009E483D">
        <w:rPr>
          <w:rFonts w:ascii="Calibri" w:hAnsi="Calibri" w:cs="Calibri"/>
          <w:sz w:val="20"/>
          <w:szCs w:val="20"/>
        </w:rPr>
        <w:pict w14:anchorId="7E07A8A9">
          <v:rect id="_x0000_i106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7"/>
        <w:gridCol w:w="9365"/>
      </w:tblGrid>
      <w:tr w:rsidR="009E483D" w:rsidRPr="009E483D" w14:paraId="44796247" w14:textId="77777777" w:rsidTr="009E483D">
        <w:trPr>
          <w:tblCellSpacing w:w="15" w:type="dxa"/>
        </w:trPr>
        <w:tc>
          <w:tcPr>
            <w:tcW w:w="0" w:type="auto"/>
            <w:vAlign w:val="center"/>
            <w:hideMark/>
          </w:tcPr>
          <w:p w14:paraId="03D2D8FB" w14:textId="52DAB080" w:rsidR="009E483D" w:rsidRPr="009E483D" w:rsidRDefault="009E483D" w:rsidP="009E483D">
            <w:pPr>
              <w:jc w:val="both"/>
              <w:rPr>
                <w:rFonts w:ascii="Calibri" w:hAnsi="Calibri" w:cs="Calibri"/>
                <w:sz w:val="20"/>
                <w:szCs w:val="20"/>
              </w:rPr>
            </w:pPr>
            <w:r w:rsidRPr="009E483D">
              <w:rPr>
                <w:rFonts w:ascii="Calibri" w:hAnsi="Calibri" w:cs="Calibri"/>
                <w:sz w:val="20"/>
                <w:szCs w:val="20"/>
              </w:rPr>
              <w:drawing>
                <wp:inline distT="0" distB="0" distL="0" distR="0" wp14:anchorId="06DE4FD6" wp14:editId="0B979FD0">
                  <wp:extent cx="845820" cy="571500"/>
                  <wp:effectExtent l="0" t="0" r="0" b="0"/>
                  <wp:docPr id="1247319377" name="Imagem 4"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tip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5820" cy="571500"/>
                          </a:xfrm>
                          <a:prstGeom prst="rect">
                            <a:avLst/>
                          </a:prstGeom>
                          <a:noFill/>
                          <a:ln>
                            <a:noFill/>
                          </a:ln>
                        </pic:spPr>
                      </pic:pic>
                    </a:graphicData>
                  </a:graphic>
                </wp:inline>
              </w:drawing>
            </w:r>
          </w:p>
        </w:tc>
        <w:tc>
          <w:tcPr>
            <w:tcW w:w="0" w:type="auto"/>
            <w:vAlign w:val="center"/>
            <w:hideMark/>
          </w:tcPr>
          <w:p w14:paraId="4ADABC5F" w14:textId="77777777" w:rsidR="009E483D" w:rsidRPr="009E483D" w:rsidRDefault="009E483D" w:rsidP="009E483D">
            <w:pPr>
              <w:jc w:val="both"/>
              <w:rPr>
                <w:rFonts w:ascii="Calibri" w:hAnsi="Calibri" w:cs="Calibri"/>
                <w:sz w:val="20"/>
                <w:szCs w:val="20"/>
              </w:rPr>
            </w:pPr>
            <w:r w:rsidRPr="009E483D">
              <w:rPr>
                <w:rFonts w:ascii="Calibri" w:hAnsi="Calibri" w:cs="Calibri"/>
                <w:sz w:val="20"/>
                <w:szCs w:val="20"/>
              </w:rPr>
              <w:t>Documento assinado eletronicamente por </w:t>
            </w:r>
            <w:r w:rsidRPr="009E483D">
              <w:rPr>
                <w:rFonts w:ascii="Calibri" w:hAnsi="Calibri" w:cs="Calibri"/>
                <w:b/>
                <w:bCs/>
                <w:sz w:val="20"/>
                <w:szCs w:val="20"/>
              </w:rPr>
              <w:t>ANTONIO CARLOS ALENCAR DO NASCIMENTO</w:t>
            </w:r>
            <w:r w:rsidRPr="009E483D">
              <w:rPr>
                <w:rFonts w:ascii="Calibri" w:hAnsi="Calibri" w:cs="Calibri"/>
                <w:sz w:val="20"/>
                <w:szCs w:val="20"/>
              </w:rPr>
              <w:t>, </w:t>
            </w:r>
            <w:r w:rsidRPr="009E483D">
              <w:rPr>
                <w:rFonts w:ascii="Calibri" w:hAnsi="Calibri" w:cs="Calibri"/>
                <w:b/>
                <w:bCs/>
                <w:sz w:val="20"/>
                <w:szCs w:val="20"/>
              </w:rPr>
              <w:t>Coordenador(a)</w:t>
            </w:r>
            <w:r w:rsidRPr="009E483D">
              <w:rPr>
                <w:rFonts w:ascii="Calibri" w:hAnsi="Calibri" w:cs="Calibri"/>
                <w:sz w:val="20"/>
                <w:szCs w:val="20"/>
              </w:rPr>
              <w:t>, em 20/09/2024, às 11:52, conforme horário oficial de Brasília, com fundamento no artigo 18 caput e seus §§ 1º e 2º, do </w:t>
            </w:r>
            <w:hyperlink r:id="rId6" w:tgtFrame="_blank" w:tooltip="Acesse o Decreto" w:history="1">
              <w:r w:rsidRPr="009E483D">
                <w:rPr>
                  <w:rStyle w:val="Hyperlink"/>
                  <w:rFonts w:ascii="Calibri" w:hAnsi="Calibri" w:cs="Calibri"/>
                  <w:sz w:val="20"/>
                  <w:szCs w:val="20"/>
                </w:rPr>
                <w:t>Decreto nº 21.794, de 5 Abril de 2017.</w:t>
              </w:r>
            </w:hyperlink>
          </w:p>
        </w:tc>
      </w:tr>
    </w:tbl>
    <w:p w14:paraId="7FBC087E" w14:textId="77777777" w:rsidR="009E483D" w:rsidRPr="009E483D" w:rsidRDefault="009E483D" w:rsidP="009E483D">
      <w:pPr>
        <w:jc w:val="both"/>
        <w:rPr>
          <w:rFonts w:ascii="Calibri" w:hAnsi="Calibri" w:cs="Calibri"/>
          <w:sz w:val="20"/>
          <w:szCs w:val="20"/>
        </w:rPr>
      </w:pPr>
      <w:r w:rsidRPr="009E483D">
        <w:rPr>
          <w:rFonts w:ascii="Calibri" w:hAnsi="Calibri" w:cs="Calibri"/>
          <w:sz w:val="20"/>
          <w:szCs w:val="20"/>
        </w:rPr>
        <w:pict w14:anchorId="19A982B6">
          <v:rect id="_x0000_i1067"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71"/>
        <w:gridCol w:w="9401"/>
      </w:tblGrid>
      <w:tr w:rsidR="009E483D" w:rsidRPr="009E483D" w14:paraId="3F9EF8E1" w14:textId="77777777" w:rsidTr="009E483D">
        <w:trPr>
          <w:tblCellSpacing w:w="15" w:type="dxa"/>
        </w:trPr>
        <w:tc>
          <w:tcPr>
            <w:tcW w:w="0" w:type="auto"/>
            <w:vAlign w:val="center"/>
            <w:hideMark/>
          </w:tcPr>
          <w:p w14:paraId="6B9ECDA5" w14:textId="7675E45D" w:rsidR="009E483D" w:rsidRPr="009E483D" w:rsidRDefault="009E483D" w:rsidP="009E483D">
            <w:pPr>
              <w:jc w:val="both"/>
              <w:rPr>
                <w:rFonts w:ascii="Calibri" w:hAnsi="Calibri" w:cs="Calibri"/>
                <w:sz w:val="20"/>
                <w:szCs w:val="20"/>
              </w:rPr>
            </w:pPr>
            <w:r w:rsidRPr="009E483D">
              <w:rPr>
                <w:rFonts w:ascii="Calibri" w:hAnsi="Calibri" w:cs="Calibri"/>
                <w:sz w:val="20"/>
                <w:szCs w:val="20"/>
              </w:rPr>
              <w:drawing>
                <wp:inline distT="0" distB="0" distL="0" distR="0" wp14:anchorId="17083BEA" wp14:editId="6BA6BB8C">
                  <wp:extent cx="822960" cy="822960"/>
                  <wp:effectExtent l="0" t="0" r="0" b="0"/>
                  <wp:docPr id="113616382" name="Imagem 3" descr="QRCode Assina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QRCode Assinatur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2960" cy="822960"/>
                          </a:xfrm>
                          <a:prstGeom prst="rect">
                            <a:avLst/>
                          </a:prstGeom>
                          <a:noFill/>
                          <a:ln>
                            <a:noFill/>
                          </a:ln>
                        </pic:spPr>
                      </pic:pic>
                    </a:graphicData>
                  </a:graphic>
                </wp:inline>
              </w:drawing>
            </w:r>
          </w:p>
        </w:tc>
        <w:tc>
          <w:tcPr>
            <w:tcW w:w="0" w:type="auto"/>
            <w:vAlign w:val="center"/>
            <w:hideMark/>
          </w:tcPr>
          <w:p w14:paraId="46442728" w14:textId="77777777" w:rsidR="009E483D" w:rsidRPr="009E483D" w:rsidRDefault="009E483D" w:rsidP="009E483D">
            <w:pPr>
              <w:jc w:val="both"/>
              <w:rPr>
                <w:rFonts w:ascii="Calibri" w:hAnsi="Calibri" w:cs="Calibri"/>
                <w:sz w:val="20"/>
                <w:szCs w:val="20"/>
              </w:rPr>
            </w:pPr>
            <w:r w:rsidRPr="009E483D">
              <w:rPr>
                <w:rFonts w:ascii="Calibri" w:hAnsi="Calibri" w:cs="Calibri"/>
                <w:sz w:val="20"/>
                <w:szCs w:val="20"/>
              </w:rPr>
              <w:t>A autenticidade deste documento pode ser conferida no site </w:t>
            </w:r>
            <w:hyperlink r:id="rId8" w:tgtFrame="_blank" w:tooltip="Página de Autenticidade de Documentos" w:history="1">
              <w:r w:rsidRPr="009E483D">
                <w:rPr>
                  <w:rStyle w:val="Hyperlink"/>
                  <w:rFonts w:ascii="Calibri" w:hAnsi="Calibri" w:cs="Calibri"/>
                  <w:sz w:val="20"/>
                  <w:szCs w:val="20"/>
                </w:rPr>
                <w:t>portal do SEI</w:t>
              </w:r>
            </w:hyperlink>
            <w:r w:rsidRPr="009E483D">
              <w:rPr>
                <w:rFonts w:ascii="Calibri" w:hAnsi="Calibri" w:cs="Calibri"/>
                <w:sz w:val="20"/>
                <w:szCs w:val="20"/>
              </w:rPr>
              <w:t>, informando o código verificador </w:t>
            </w:r>
            <w:r w:rsidRPr="009E483D">
              <w:rPr>
                <w:rFonts w:ascii="Calibri" w:hAnsi="Calibri" w:cs="Calibri"/>
                <w:b/>
                <w:bCs/>
                <w:sz w:val="20"/>
                <w:szCs w:val="20"/>
              </w:rPr>
              <w:t>0052979906</w:t>
            </w:r>
            <w:r w:rsidRPr="009E483D">
              <w:rPr>
                <w:rFonts w:ascii="Calibri" w:hAnsi="Calibri" w:cs="Calibri"/>
                <w:sz w:val="20"/>
                <w:szCs w:val="20"/>
              </w:rPr>
              <w:t> e o código CRC </w:t>
            </w:r>
            <w:r w:rsidRPr="009E483D">
              <w:rPr>
                <w:rFonts w:ascii="Calibri" w:hAnsi="Calibri" w:cs="Calibri"/>
                <w:b/>
                <w:bCs/>
                <w:sz w:val="20"/>
                <w:szCs w:val="20"/>
              </w:rPr>
              <w:t>6A0080B5</w:t>
            </w:r>
            <w:r w:rsidRPr="009E483D">
              <w:rPr>
                <w:rFonts w:ascii="Calibri" w:hAnsi="Calibri" w:cs="Calibri"/>
                <w:sz w:val="20"/>
                <w:szCs w:val="20"/>
              </w:rPr>
              <w:t>.</w:t>
            </w:r>
          </w:p>
        </w:tc>
      </w:tr>
    </w:tbl>
    <w:p w14:paraId="50BEB74A" w14:textId="77777777" w:rsidR="009E483D" w:rsidRPr="009E483D" w:rsidRDefault="009E483D" w:rsidP="009E483D">
      <w:pPr>
        <w:jc w:val="both"/>
        <w:rPr>
          <w:rFonts w:ascii="Calibri" w:hAnsi="Calibri" w:cs="Calibri"/>
          <w:sz w:val="20"/>
          <w:szCs w:val="20"/>
        </w:rPr>
      </w:pPr>
      <w:r w:rsidRPr="009E483D">
        <w:rPr>
          <w:rFonts w:ascii="Calibri" w:hAnsi="Calibri" w:cs="Calibri"/>
          <w:sz w:val="20"/>
          <w:szCs w:val="20"/>
        </w:rPr>
        <w:pict w14:anchorId="31EF3189">
          <v:rect id="_x0000_i1069" style="width:0;height:1.5pt" o:hralign="center" o:hrstd="t" o:hr="t" fillcolor="#a0a0a0" stroked="f"/>
        </w:pict>
      </w:r>
    </w:p>
    <w:sectPr w:rsidR="009E483D" w:rsidRPr="009E483D" w:rsidSect="008C7D78">
      <w:pgSz w:w="11906" w:h="16838"/>
      <w:pgMar w:top="567" w:right="567"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8FE"/>
    <w:rsid w:val="002879BE"/>
    <w:rsid w:val="002F6639"/>
    <w:rsid w:val="0034600A"/>
    <w:rsid w:val="003C7726"/>
    <w:rsid w:val="003F6F03"/>
    <w:rsid w:val="00780025"/>
    <w:rsid w:val="008070F1"/>
    <w:rsid w:val="008C7D78"/>
    <w:rsid w:val="009E483D"/>
    <w:rsid w:val="00CB6BD9"/>
    <w:rsid w:val="00D40A91"/>
    <w:rsid w:val="00D76D56"/>
    <w:rsid w:val="00DA2462"/>
    <w:rsid w:val="00DC2322"/>
    <w:rsid w:val="00EA58FE"/>
    <w:rsid w:val="00FD1B9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3760AD7"/>
  <w15:chartTrackingRefBased/>
  <w15:docId w15:val="{16456030-7C26-4CB7-855F-72E060406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EA58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EA58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EA58F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EA58F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EA58F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EA58F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EA58F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EA58F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EA58FE"/>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A58FE"/>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EA58FE"/>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EA58FE"/>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EA58FE"/>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EA58FE"/>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EA58FE"/>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EA58FE"/>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EA58FE"/>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EA58FE"/>
    <w:rPr>
      <w:rFonts w:eastAsiaTheme="majorEastAsia" w:cstheme="majorBidi"/>
      <w:color w:val="272727" w:themeColor="text1" w:themeTint="D8"/>
    </w:rPr>
  </w:style>
  <w:style w:type="paragraph" w:styleId="Ttulo">
    <w:name w:val="Title"/>
    <w:basedOn w:val="Normal"/>
    <w:next w:val="Normal"/>
    <w:link w:val="TtuloChar"/>
    <w:uiPriority w:val="10"/>
    <w:qFormat/>
    <w:rsid w:val="00EA58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EA58F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EA58FE"/>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EA58FE"/>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EA58FE"/>
    <w:pPr>
      <w:spacing w:before="160"/>
      <w:jc w:val="center"/>
    </w:pPr>
    <w:rPr>
      <w:i/>
      <w:iCs/>
      <w:color w:val="404040" w:themeColor="text1" w:themeTint="BF"/>
    </w:rPr>
  </w:style>
  <w:style w:type="character" w:customStyle="1" w:styleId="CitaoChar">
    <w:name w:val="Citação Char"/>
    <w:basedOn w:val="Fontepargpadro"/>
    <w:link w:val="Citao"/>
    <w:uiPriority w:val="29"/>
    <w:rsid w:val="00EA58FE"/>
    <w:rPr>
      <w:i/>
      <w:iCs/>
      <w:color w:val="404040" w:themeColor="text1" w:themeTint="BF"/>
    </w:rPr>
  </w:style>
  <w:style w:type="paragraph" w:styleId="PargrafodaLista">
    <w:name w:val="List Paragraph"/>
    <w:basedOn w:val="Normal"/>
    <w:uiPriority w:val="34"/>
    <w:qFormat/>
    <w:rsid w:val="00EA58FE"/>
    <w:pPr>
      <w:ind w:left="720"/>
      <w:contextualSpacing/>
    </w:pPr>
  </w:style>
  <w:style w:type="character" w:styleId="nfaseIntensa">
    <w:name w:val="Intense Emphasis"/>
    <w:basedOn w:val="Fontepargpadro"/>
    <w:uiPriority w:val="21"/>
    <w:qFormat/>
    <w:rsid w:val="00EA58FE"/>
    <w:rPr>
      <w:i/>
      <w:iCs/>
      <w:color w:val="0F4761" w:themeColor="accent1" w:themeShade="BF"/>
    </w:rPr>
  </w:style>
  <w:style w:type="paragraph" w:styleId="CitaoIntensa">
    <w:name w:val="Intense Quote"/>
    <w:basedOn w:val="Normal"/>
    <w:next w:val="Normal"/>
    <w:link w:val="CitaoIntensaChar"/>
    <w:uiPriority w:val="30"/>
    <w:qFormat/>
    <w:rsid w:val="00EA58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EA58FE"/>
    <w:rPr>
      <w:i/>
      <w:iCs/>
      <w:color w:val="0F4761" w:themeColor="accent1" w:themeShade="BF"/>
    </w:rPr>
  </w:style>
  <w:style w:type="character" w:styleId="RefernciaIntensa">
    <w:name w:val="Intense Reference"/>
    <w:basedOn w:val="Fontepargpadro"/>
    <w:uiPriority w:val="32"/>
    <w:qFormat/>
    <w:rsid w:val="00EA58FE"/>
    <w:rPr>
      <w:b/>
      <w:bCs/>
      <w:smallCaps/>
      <w:color w:val="0F4761" w:themeColor="accent1" w:themeShade="BF"/>
      <w:spacing w:val="5"/>
    </w:rPr>
  </w:style>
  <w:style w:type="character" w:styleId="Hyperlink">
    <w:name w:val="Hyperlink"/>
    <w:basedOn w:val="Fontepargpadro"/>
    <w:uiPriority w:val="99"/>
    <w:unhideWhenUsed/>
    <w:rsid w:val="008C7D78"/>
    <w:rPr>
      <w:color w:val="467886" w:themeColor="hyperlink"/>
      <w:u w:val="single"/>
    </w:rPr>
  </w:style>
  <w:style w:type="character" w:styleId="MenoPendente">
    <w:name w:val="Unresolved Mention"/>
    <w:basedOn w:val="Fontepargpadro"/>
    <w:uiPriority w:val="99"/>
    <w:semiHidden/>
    <w:unhideWhenUsed/>
    <w:rsid w:val="008C7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300130">
      <w:bodyDiv w:val="1"/>
      <w:marLeft w:val="0"/>
      <w:marRight w:val="0"/>
      <w:marTop w:val="0"/>
      <w:marBottom w:val="0"/>
      <w:divBdr>
        <w:top w:val="none" w:sz="0" w:space="0" w:color="auto"/>
        <w:left w:val="none" w:sz="0" w:space="0" w:color="auto"/>
        <w:bottom w:val="none" w:sz="0" w:space="0" w:color="auto"/>
        <w:right w:val="none" w:sz="0" w:space="0" w:color="auto"/>
      </w:divBdr>
      <w:divsChild>
        <w:div w:id="742916153">
          <w:marLeft w:val="0"/>
          <w:marRight w:val="0"/>
          <w:marTop w:val="0"/>
          <w:marBottom w:val="0"/>
          <w:divBdr>
            <w:top w:val="none" w:sz="0" w:space="0" w:color="auto"/>
            <w:left w:val="none" w:sz="0" w:space="0" w:color="auto"/>
            <w:bottom w:val="none" w:sz="0" w:space="0" w:color="auto"/>
            <w:right w:val="none" w:sz="0" w:space="0" w:color="auto"/>
          </w:divBdr>
        </w:div>
        <w:div w:id="720786663">
          <w:marLeft w:val="0"/>
          <w:marRight w:val="0"/>
          <w:marTop w:val="0"/>
          <w:marBottom w:val="0"/>
          <w:divBdr>
            <w:top w:val="none" w:sz="0" w:space="0" w:color="auto"/>
            <w:left w:val="none" w:sz="0" w:space="0" w:color="auto"/>
            <w:bottom w:val="none" w:sz="0" w:space="0" w:color="auto"/>
            <w:right w:val="none" w:sz="0" w:space="0" w:color="auto"/>
          </w:divBdr>
        </w:div>
      </w:divsChild>
    </w:div>
    <w:div w:id="674496714">
      <w:bodyDiv w:val="1"/>
      <w:marLeft w:val="0"/>
      <w:marRight w:val="0"/>
      <w:marTop w:val="0"/>
      <w:marBottom w:val="0"/>
      <w:divBdr>
        <w:top w:val="none" w:sz="0" w:space="0" w:color="auto"/>
        <w:left w:val="none" w:sz="0" w:space="0" w:color="auto"/>
        <w:bottom w:val="none" w:sz="0" w:space="0" w:color="auto"/>
        <w:right w:val="none" w:sz="0" w:space="0" w:color="auto"/>
      </w:divBdr>
      <w:divsChild>
        <w:div w:id="674454068">
          <w:marLeft w:val="0"/>
          <w:marRight w:val="0"/>
          <w:marTop w:val="0"/>
          <w:marBottom w:val="0"/>
          <w:divBdr>
            <w:top w:val="none" w:sz="0" w:space="0" w:color="auto"/>
            <w:left w:val="none" w:sz="0" w:space="0" w:color="auto"/>
            <w:bottom w:val="none" w:sz="0" w:space="0" w:color="auto"/>
            <w:right w:val="none" w:sz="0" w:space="0" w:color="auto"/>
          </w:divBdr>
        </w:div>
        <w:div w:id="1386837399">
          <w:marLeft w:val="0"/>
          <w:marRight w:val="0"/>
          <w:marTop w:val="0"/>
          <w:marBottom w:val="0"/>
          <w:divBdr>
            <w:top w:val="none" w:sz="0" w:space="0" w:color="auto"/>
            <w:left w:val="none" w:sz="0" w:space="0" w:color="auto"/>
            <w:bottom w:val="none" w:sz="0" w:space="0" w:color="auto"/>
            <w:right w:val="none" w:sz="0" w:space="0" w:color="auto"/>
          </w:divBdr>
        </w:div>
      </w:divsChild>
    </w:div>
    <w:div w:id="1138962022">
      <w:bodyDiv w:val="1"/>
      <w:marLeft w:val="0"/>
      <w:marRight w:val="0"/>
      <w:marTop w:val="0"/>
      <w:marBottom w:val="0"/>
      <w:divBdr>
        <w:top w:val="none" w:sz="0" w:space="0" w:color="auto"/>
        <w:left w:val="none" w:sz="0" w:space="0" w:color="auto"/>
        <w:bottom w:val="none" w:sz="0" w:space="0" w:color="auto"/>
        <w:right w:val="none" w:sz="0" w:space="0" w:color="auto"/>
      </w:divBdr>
      <w:divsChild>
        <w:div w:id="684870493">
          <w:marLeft w:val="0"/>
          <w:marRight w:val="0"/>
          <w:marTop w:val="0"/>
          <w:marBottom w:val="0"/>
          <w:divBdr>
            <w:top w:val="single" w:sz="12" w:space="3" w:color="777777"/>
            <w:left w:val="single" w:sz="12" w:space="3" w:color="777777"/>
            <w:bottom w:val="single" w:sz="12" w:space="3" w:color="777777"/>
            <w:right w:val="single" w:sz="12" w:space="3" w:color="777777"/>
          </w:divBdr>
        </w:div>
        <w:div w:id="1310478256">
          <w:marLeft w:val="0"/>
          <w:marRight w:val="0"/>
          <w:marTop w:val="0"/>
          <w:marBottom w:val="0"/>
          <w:divBdr>
            <w:top w:val="none" w:sz="0" w:space="0" w:color="auto"/>
            <w:left w:val="none" w:sz="0" w:space="0" w:color="auto"/>
            <w:bottom w:val="none" w:sz="0" w:space="0" w:color="auto"/>
            <w:right w:val="none" w:sz="0" w:space="0" w:color="auto"/>
          </w:divBdr>
        </w:div>
        <w:div w:id="1823546242">
          <w:marLeft w:val="0"/>
          <w:marRight w:val="0"/>
          <w:marTop w:val="0"/>
          <w:marBottom w:val="0"/>
          <w:divBdr>
            <w:top w:val="none" w:sz="0" w:space="0" w:color="auto"/>
            <w:left w:val="none" w:sz="0" w:space="0" w:color="auto"/>
            <w:bottom w:val="none" w:sz="0" w:space="0" w:color="auto"/>
            <w:right w:val="none" w:sz="0" w:space="0" w:color="auto"/>
          </w:divBdr>
        </w:div>
      </w:divsChild>
    </w:div>
    <w:div w:id="2124882654">
      <w:bodyDiv w:val="1"/>
      <w:marLeft w:val="0"/>
      <w:marRight w:val="0"/>
      <w:marTop w:val="0"/>
      <w:marBottom w:val="0"/>
      <w:divBdr>
        <w:top w:val="none" w:sz="0" w:space="0" w:color="auto"/>
        <w:left w:val="none" w:sz="0" w:space="0" w:color="auto"/>
        <w:bottom w:val="none" w:sz="0" w:space="0" w:color="auto"/>
        <w:right w:val="none" w:sz="0" w:space="0" w:color="auto"/>
      </w:divBdr>
      <w:divsChild>
        <w:div w:id="1102068484">
          <w:marLeft w:val="0"/>
          <w:marRight w:val="0"/>
          <w:marTop w:val="0"/>
          <w:marBottom w:val="0"/>
          <w:divBdr>
            <w:top w:val="single" w:sz="12" w:space="3" w:color="777777"/>
            <w:left w:val="single" w:sz="12" w:space="3" w:color="777777"/>
            <w:bottom w:val="single" w:sz="12" w:space="3" w:color="777777"/>
            <w:right w:val="single" w:sz="12" w:space="3" w:color="777777"/>
          </w:divBdr>
        </w:div>
        <w:div w:id="283191934">
          <w:marLeft w:val="0"/>
          <w:marRight w:val="0"/>
          <w:marTop w:val="0"/>
          <w:marBottom w:val="0"/>
          <w:divBdr>
            <w:top w:val="none" w:sz="0" w:space="0" w:color="auto"/>
            <w:left w:val="none" w:sz="0" w:space="0" w:color="auto"/>
            <w:bottom w:val="none" w:sz="0" w:space="0" w:color="auto"/>
            <w:right w:val="none" w:sz="0" w:space="0" w:color="auto"/>
          </w:divBdr>
        </w:div>
        <w:div w:id="13887255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i.sistemas.ro.gov.br/sei/controlador_externo.php?acao=documento_conferir&amp;id_orgao_acesso_externo=0" TargetMode="Externa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690</Words>
  <Characters>3726</Characters>
  <Application>Microsoft Office Word</Application>
  <DocSecurity>0</DocSecurity>
  <Lines>31</Lines>
  <Paragraphs>8</Paragraphs>
  <ScaleCrop>false</ScaleCrop>
  <Company/>
  <LinksUpToDate>false</LinksUpToDate>
  <CharactersWithSpaces>4408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Instrução Normativa nº 58/2024/GAB/CRE</dc:title>
  <dc:subject>Altera dispositivos da Instrução Normativa nº 40/2018/GAB/CRE, que “Disciplina os procedimentos relativos a retificação de Escrituração Fiscal Digital - EFD, cuja apuração tenha gerado débito de ICMS objeto de inscrição em Dívida Ativa ou parcelamento.”.</dc:subject>
  <dc:creator>Mariana Cavalcante Maciel</dc:creator>
  <cp:keywords/>
  <dc:description/>
  <cp:lastModifiedBy>Mariana Cavalcante Maciel</cp:lastModifiedBy>
  <cp:revision>5</cp:revision>
  <cp:lastPrinted>2024-09-23T12:18:00Z</cp:lastPrinted>
  <dcterms:created xsi:type="dcterms:W3CDTF">2024-09-23T12:14:00Z</dcterms:created>
  <dcterms:modified xsi:type="dcterms:W3CDTF">2024-09-23T12:19:00Z</dcterms:modified>
</cp:coreProperties>
</file>