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03EA2C" w14:textId="3F6BB919" w:rsidR="0064411C" w:rsidRPr="0064411C" w:rsidRDefault="0064411C" w:rsidP="0064411C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Calibri" w:hAnsi="Calibri" w:cs="Calibri"/>
          <w:color w:val="333333"/>
          <w:sz w:val="20"/>
          <w:szCs w:val="20"/>
        </w:rPr>
      </w:pPr>
      <w:r w:rsidRPr="0064411C">
        <w:rPr>
          <w:rFonts w:ascii="Calibri" w:hAnsi="Calibri" w:cs="Calibri"/>
          <w:color w:val="E74C3C"/>
          <w:sz w:val="20"/>
          <w:szCs w:val="20"/>
        </w:rPr>
        <w:t>* Este texto não substitui o publicado no DOE.</w:t>
      </w:r>
    </w:p>
    <w:p w14:paraId="5E3B668F" w14:textId="42945586" w:rsidR="0064411C" w:rsidRPr="0064411C" w:rsidRDefault="0064411C" w:rsidP="0064411C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64411C">
        <w:rPr>
          <w:rFonts w:ascii="Calibri" w:hAnsi="Calibri" w:cs="Calibri"/>
          <w:color w:val="333333"/>
          <w:sz w:val="20"/>
          <w:szCs w:val="20"/>
        </w:rPr>
        <w:t>Diário Oficial do Estado de Rondônia nº </w:t>
      </w:r>
      <w:r>
        <w:rPr>
          <w:rFonts w:ascii="Calibri" w:hAnsi="Calibri" w:cs="Calibri"/>
          <w:color w:val="333333"/>
          <w:sz w:val="20"/>
          <w:szCs w:val="20"/>
        </w:rPr>
        <w:t>80</w:t>
      </w:r>
      <w:r w:rsidRPr="0064411C">
        <w:rPr>
          <w:rFonts w:ascii="Calibri" w:hAnsi="Calibri" w:cs="Calibri"/>
          <w:color w:val="333333"/>
          <w:sz w:val="20"/>
          <w:szCs w:val="20"/>
        </w:rPr>
        <w:br/>
        <w:t xml:space="preserve">Disponibilização: </w:t>
      </w:r>
      <w:r>
        <w:rPr>
          <w:rFonts w:ascii="Calibri" w:hAnsi="Calibri" w:cs="Calibri"/>
          <w:color w:val="333333"/>
          <w:sz w:val="20"/>
          <w:szCs w:val="20"/>
        </w:rPr>
        <w:t>02/05</w:t>
      </w:r>
      <w:r w:rsidRPr="0064411C">
        <w:rPr>
          <w:rFonts w:ascii="Calibri" w:hAnsi="Calibri" w:cs="Calibri"/>
          <w:color w:val="333333"/>
          <w:sz w:val="20"/>
          <w:szCs w:val="20"/>
        </w:rPr>
        <w:t>/2024</w:t>
      </w:r>
      <w:r w:rsidRPr="0064411C">
        <w:rPr>
          <w:rFonts w:ascii="Calibri" w:hAnsi="Calibri" w:cs="Calibri"/>
          <w:color w:val="333333"/>
          <w:sz w:val="20"/>
          <w:szCs w:val="20"/>
        </w:rPr>
        <w:br/>
        <w:t xml:space="preserve">Publicação: </w:t>
      </w:r>
      <w:r>
        <w:rPr>
          <w:rFonts w:ascii="Calibri" w:hAnsi="Calibri" w:cs="Calibri"/>
          <w:color w:val="333333"/>
          <w:sz w:val="20"/>
          <w:szCs w:val="20"/>
        </w:rPr>
        <w:t>02/05/2024</w:t>
      </w:r>
    </w:p>
    <w:p w14:paraId="012258C2" w14:textId="5B50A235" w:rsidR="008D633B" w:rsidRPr="008D633B" w:rsidRDefault="008D633B" w:rsidP="008D633B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172176D2" w14:textId="72401BC0" w:rsidR="008D633B" w:rsidRDefault="008D633B" w:rsidP="008D633B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207579AE" wp14:editId="157659FC">
            <wp:extent cx="1533810" cy="1177747"/>
            <wp:effectExtent l="0" t="0" r="0" b="3810"/>
            <wp:docPr id="1719978056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9978056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0733" cy="1183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D58F83" w14:textId="77777777" w:rsidR="008D633B" w:rsidRDefault="008D633B" w:rsidP="008D633B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1DB3CAFE" w14:textId="48EBBF94" w:rsidR="008D633B" w:rsidRPr="008D633B" w:rsidRDefault="008D633B" w:rsidP="008D633B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157F34D0" w14:textId="77777777" w:rsidR="008D633B" w:rsidRPr="008D633B" w:rsidRDefault="008D633B" w:rsidP="008D633B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4C19D9EE" w14:textId="032775EE" w:rsidR="008D633B" w:rsidRPr="008D633B" w:rsidRDefault="008D633B" w:rsidP="008D633B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22/2024/SEFIN/GAB/</w:t>
      </w:r>
      <w:r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CRE</w:t>
      </w:r>
    </w:p>
    <w:p w14:paraId="16CA50CC" w14:textId="77777777" w:rsidR="008D633B" w:rsidRP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A8A6F49" w14:textId="77777777" w:rsidR="008D633B" w:rsidRPr="008D633B" w:rsidRDefault="008D633B" w:rsidP="008D633B">
      <w:pPr>
        <w:spacing w:before="100" w:beforeAutospacing="1" w:after="120" w:line="240" w:lineRule="auto"/>
        <w:ind w:left="2954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Acresce dispositivo à Instrução Normativa nº 13/2024/GAB/CRE:</w:t>
      </w:r>
    </w:p>
    <w:p w14:paraId="5BDC20CE" w14:textId="77777777" w:rsidR="008D633B" w:rsidRPr="008D633B" w:rsidRDefault="008D633B" w:rsidP="008D633B">
      <w:pPr>
        <w:spacing w:before="100" w:beforeAutospacing="1" w:after="12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6E35E26" w14:textId="77777777" w:rsidR="008D633B" w:rsidRPr="008D633B" w:rsidRDefault="008D633B" w:rsidP="008D633B">
      <w:pPr>
        <w:spacing w:after="12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no uso de suas atribuições legais,</w:t>
      </w:r>
    </w:p>
    <w:p w14:paraId="7B9F8D13" w14:textId="77777777" w:rsidR="008D633B" w:rsidRPr="008D633B" w:rsidRDefault="008D633B" w:rsidP="008D633B">
      <w:pPr>
        <w:spacing w:after="12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 dificuldade dos contribuintes em operacionalizar os comandos da Instrução Normativa 13/2024/GAB/CRE que “Dispõe sobre os procedimentos a serem observados nas remessas de bens e de mercadorias entre estabelecimentos de mesma titularidade (transferências)”</w:t>
      </w:r>
    </w:p>
    <w:p w14:paraId="32F417BA" w14:textId="77777777" w:rsidR="008D633B" w:rsidRPr="008D633B" w:rsidRDefault="008D633B" w:rsidP="008D633B">
      <w:pPr>
        <w:spacing w:after="12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que não haverá prejuízo à aplicação do Convênio ICMS 178/23, Lei Complementar 204/23 e ADC Nº 49;</w:t>
      </w:r>
    </w:p>
    <w:p w14:paraId="593EFDEE" w14:textId="77777777" w:rsidR="008D633B" w:rsidRPr="008D633B" w:rsidRDefault="008D633B" w:rsidP="008D633B">
      <w:pPr>
        <w:spacing w:after="12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740011F" w14:textId="615304CB" w:rsidR="008D633B" w:rsidRPr="008D633B" w:rsidRDefault="008D633B" w:rsidP="008D633B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M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I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N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:</w:t>
      </w: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D77ACD2" w14:textId="77777777" w:rsidR="008D633B" w:rsidRP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32DD4B9" w14:textId="77777777" w:rsidR="008D633B" w:rsidRP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Acresce o art. 12-A à Instrução Normativa nº 13/2024/GAB/CRE:</w:t>
      </w:r>
    </w:p>
    <w:p w14:paraId="00468E49" w14:textId="77777777" w:rsidR="008D633B" w:rsidRP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“Art. 12-A. Até 30 de junho de 2024, para as mercadorias adquiridas de outra Unidade da Federação, tributadas pelas alíquotas interestaduais descritas nas Resoluções do Senado Federal nº 22/1989 e 13/2012, que vierem a ser remetidas, posteriormente, para estabelecimento do mesma pessoa jurídica situada em Rondônia, os contribuintes poderão emitir os documentos fiscais relativos às remessas internas dessas mesmas mercadorias, utilizando a alíquota interna, devendo, na EFD, realizar o estorno de:</w:t>
      </w:r>
    </w:p>
    <w:p w14:paraId="2DCD282A" w14:textId="77777777" w:rsidR="008D633B" w:rsidRP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– </w:t>
      </w:r>
      <w:proofErr w:type="gramStart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débito</w:t>
      </w:r>
      <w:proofErr w:type="gramEnd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no estabelecimento remetente, equivalente à diferença entre a alíquota interna e a alíquota interestadual, sempre que a alíquota utilizada para remessa for superior à alíquota utilizada na operação interestadual de aquisição pelo estabelecimento;</w:t>
      </w:r>
    </w:p>
    <w:p w14:paraId="328A9C17" w14:textId="77777777" w:rsidR="008D633B" w:rsidRP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– </w:t>
      </w:r>
      <w:proofErr w:type="gramStart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crédito</w:t>
      </w:r>
      <w:proofErr w:type="gramEnd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no estabelecimento destinatário, equivalente à diferença entre a alíquota interna e a alíquota interestadual, sempre que a alíquota utilizada para remessa das mercadorias for inferior à alíquota utilizada na operação interestadual de aquisição pelo estabelecimento.</w:t>
      </w:r>
    </w:p>
    <w:p w14:paraId="0A92F580" w14:textId="77777777" w:rsidR="008D633B" w:rsidRP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Parágrafo único. O contribuinte, para os fins de que trata este artigo, deverá referenciar em campo próprio, as </w:t>
      </w:r>
      <w:proofErr w:type="spellStart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NF-es</w:t>
      </w:r>
      <w:proofErr w:type="spellEnd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de origem das mercadorias remetidas (</w:t>
      </w:r>
      <w:proofErr w:type="spellStart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tag</w:t>
      </w:r>
      <w:proofErr w:type="spellEnd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: &lt;</w:t>
      </w:r>
      <w:proofErr w:type="spellStart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refNFe</w:t>
      </w:r>
      <w:proofErr w:type="spellEnd"/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&gt;).”</w:t>
      </w:r>
    </w:p>
    <w:p w14:paraId="42E0EC7E" w14:textId="77777777" w:rsidR="008D633B" w:rsidRP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9DD7211" w14:textId="77777777" w:rsid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Esta Instrução Normativa entra em vigor na data de sua publicação, produzindo efeitos a partir de 3 de abril de 2024.</w:t>
      </w:r>
    </w:p>
    <w:p w14:paraId="4C3A3F85" w14:textId="77777777" w:rsidR="008D633B" w:rsidRPr="008D633B" w:rsidRDefault="008D633B" w:rsidP="008D633B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4F6DDD47" w14:textId="77777777" w:rsidR="008D633B" w:rsidRPr="008D633B" w:rsidRDefault="008D633B" w:rsidP="008D633B">
      <w:pPr>
        <w:spacing w:after="0" w:line="240" w:lineRule="auto"/>
        <w:ind w:left="60" w:right="6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25 de abril de 2024.</w:t>
      </w:r>
    </w:p>
    <w:p w14:paraId="44CEC43C" w14:textId="77777777" w:rsidR="008D633B" w:rsidRPr="008D633B" w:rsidRDefault="008D633B" w:rsidP="008D633B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B4B0AA9" w14:textId="77777777" w:rsidR="008D633B" w:rsidRPr="008D633B" w:rsidRDefault="008D633B" w:rsidP="008D633B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18E4DF92" w14:textId="77777777" w:rsidR="008D633B" w:rsidRPr="008D633B" w:rsidRDefault="008D633B" w:rsidP="008D633B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1F61A647" w14:textId="77777777" w:rsidR="008D633B" w:rsidRPr="008D633B" w:rsidRDefault="008D633B" w:rsidP="008D633B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pict w14:anchorId="7A6A8E78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8D633B" w:rsidRPr="008D633B" w14:paraId="4CFA0920" w14:textId="77777777" w:rsidTr="008D63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34BB27" w14:textId="1A9BB11C" w:rsidR="008D633B" w:rsidRPr="008D633B" w:rsidRDefault="008D633B" w:rsidP="008D633B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D633B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64E899E3" wp14:editId="73D70304">
                  <wp:extent cx="848360" cy="570865"/>
                  <wp:effectExtent l="0" t="0" r="8890" b="635"/>
                  <wp:docPr id="1409923133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1FC73FB" w14:textId="77777777" w:rsidR="008D633B" w:rsidRPr="008D633B" w:rsidRDefault="008D633B" w:rsidP="008D633B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D633B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8D633B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8D633B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8D633B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8D633B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02/05/2024, às 11:04, conforme horário oficial de Brasília, com fundamento no artigo 18 caput e seus §§ 1º e 2º, do </w:t>
            </w:r>
            <w:hyperlink r:id="rId6" w:tgtFrame="_blank" w:tooltip="Acesse o Decreto" w:history="1">
              <w:r w:rsidRPr="008D633B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2F3CE788" w14:textId="77777777" w:rsidR="008D633B" w:rsidRPr="008D633B" w:rsidRDefault="008D633B" w:rsidP="008D633B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8D633B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4A6482E3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8D633B" w:rsidRPr="008D633B" w14:paraId="74CAA1D8" w14:textId="77777777" w:rsidTr="008D63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8B1AEE" w14:textId="09221790" w:rsidR="008D633B" w:rsidRPr="008D633B" w:rsidRDefault="008D633B" w:rsidP="008D633B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D633B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0CFE2E1D" wp14:editId="280CABA8">
                  <wp:extent cx="819150" cy="819150"/>
                  <wp:effectExtent l="0" t="0" r="0" b="0"/>
                  <wp:docPr id="1217442348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9950416" w14:textId="77777777" w:rsidR="008D633B" w:rsidRPr="008D633B" w:rsidRDefault="008D633B" w:rsidP="008D633B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D633B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8D633B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8D633B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8D633B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0048139643</w:t>
            </w:r>
            <w:r w:rsidRPr="008D633B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8D633B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D2BFF846</w:t>
            </w:r>
            <w:r w:rsidRPr="008D633B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0743B0B9" w14:textId="77777777" w:rsidR="002E0D6D" w:rsidRPr="008D633B" w:rsidRDefault="002E0D6D" w:rsidP="008D633B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8D633B" w:rsidSect="008D633B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633B"/>
    <w:rsid w:val="002E0D6D"/>
    <w:rsid w:val="0064411C"/>
    <w:rsid w:val="008D6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2625F"/>
  <w15:chartTrackingRefBased/>
  <w15:docId w15:val="{A071C108-4EB3-4ED7-A7AA-62F5E9ACF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D63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D63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D63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D63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D63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D63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D63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D63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D63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D63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D63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D63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D633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D633B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D633B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D633B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D633B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D633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D63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D63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D63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D63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D63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D633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D633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D633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D63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D633B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D633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8D63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8D63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8D633B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8D63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8D63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8D63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8D63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8D63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0271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47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70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472</Words>
  <Characters>2553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1</cp:revision>
  <dcterms:created xsi:type="dcterms:W3CDTF">2024-05-02T17:30:00Z</dcterms:created>
  <dcterms:modified xsi:type="dcterms:W3CDTF">2024-05-02T17:43:00Z</dcterms:modified>
</cp:coreProperties>
</file>