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1D4AEE" w14:textId="1DF68EB1" w:rsidR="004905D9" w:rsidRPr="0016048C" w:rsidRDefault="0016048C" w:rsidP="004905D9">
      <w:pPr>
        <w:rPr>
          <w:rFonts w:ascii="Calibri" w:hAnsi="Calibri" w:cs="Calibri"/>
          <w:color w:val="FF0000"/>
          <w:sz w:val="20"/>
          <w:szCs w:val="20"/>
        </w:rPr>
      </w:pPr>
      <w:r w:rsidRPr="0016048C">
        <w:rPr>
          <w:rFonts w:ascii="Calibri" w:hAnsi="Calibri" w:cs="Calibri"/>
          <w:color w:val="FF0000"/>
          <w:sz w:val="20"/>
          <w:szCs w:val="20"/>
        </w:rPr>
        <w:t>* Este texto não substitui o publicado no DOE.</w:t>
      </w:r>
    </w:p>
    <w:p w14:paraId="085D7BC2" w14:textId="4B073004" w:rsidR="004905D9" w:rsidRPr="004905D9" w:rsidRDefault="004905D9" w:rsidP="004905D9">
      <w:pPr>
        <w:rPr>
          <w:rFonts w:ascii="Calibri" w:hAnsi="Calibri" w:cs="Calibri"/>
          <w:sz w:val="20"/>
          <w:szCs w:val="20"/>
        </w:rPr>
      </w:pPr>
      <w:r w:rsidRPr="004905D9">
        <w:rPr>
          <w:rFonts w:ascii="Calibri" w:hAnsi="Calibri" w:cs="Calibri"/>
          <w:sz w:val="20"/>
          <w:szCs w:val="20"/>
        </w:rPr>
        <w:t>Diário Oficial do Estado de Rondônia nº 1</w:t>
      </w:r>
      <w:r w:rsidR="00DD0564">
        <w:rPr>
          <w:rFonts w:ascii="Calibri" w:hAnsi="Calibri" w:cs="Calibri"/>
          <w:sz w:val="20"/>
          <w:szCs w:val="20"/>
        </w:rPr>
        <w:t>8</w:t>
      </w:r>
      <w:r w:rsidR="00177222">
        <w:rPr>
          <w:rFonts w:ascii="Calibri" w:hAnsi="Calibri" w:cs="Calibri"/>
          <w:sz w:val="20"/>
          <w:szCs w:val="20"/>
        </w:rPr>
        <w:t>3</w:t>
      </w:r>
      <w:r w:rsidRPr="004905D9">
        <w:rPr>
          <w:rFonts w:ascii="Calibri" w:hAnsi="Calibri" w:cs="Calibri"/>
          <w:sz w:val="20"/>
          <w:szCs w:val="20"/>
        </w:rPr>
        <w:br/>
        <w:t>Disponibilização: 2</w:t>
      </w:r>
      <w:r w:rsidR="00177222">
        <w:rPr>
          <w:rFonts w:ascii="Calibri" w:hAnsi="Calibri" w:cs="Calibri"/>
          <w:sz w:val="20"/>
          <w:szCs w:val="20"/>
        </w:rPr>
        <w:t>7</w:t>
      </w:r>
      <w:r w:rsidRPr="004905D9">
        <w:rPr>
          <w:rFonts w:ascii="Calibri" w:hAnsi="Calibri" w:cs="Calibri"/>
          <w:sz w:val="20"/>
          <w:szCs w:val="20"/>
        </w:rPr>
        <w:t>/0</w:t>
      </w:r>
      <w:r w:rsidR="00DD0564">
        <w:rPr>
          <w:rFonts w:ascii="Calibri" w:hAnsi="Calibri" w:cs="Calibri"/>
          <w:sz w:val="20"/>
          <w:szCs w:val="20"/>
        </w:rPr>
        <w:t>9</w:t>
      </w:r>
      <w:r w:rsidRPr="004905D9">
        <w:rPr>
          <w:rFonts w:ascii="Calibri" w:hAnsi="Calibri" w:cs="Calibri"/>
          <w:sz w:val="20"/>
          <w:szCs w:val="20"/>
        </w:rPr>
        <w:t>/2024</w:t>
      </w:r>
      <w:r w:rsidRPr="004905D9">
        <w:rPr>
          <w:rFonts w:ascii="Calibri" w:hAnsi="Calibri" w:cs="Calibri"/>
          <w:sz w:val="20"/>
          <w:szCs w:val="20"/>
        </w:rPr>
        <w:br/>
        <w:t>Publicação: 2</w:t>
      </w:r>
      <w:r w:rsidR="00177222">
        <w:rPr>
          <w:rFonts w:ascii="Calibri" w:hAnsi="Calibri" w:cs="Calibri"/>
          <w:sz w:val="20"/>
          <w:szCs w:val="20"/>
        </w:rPr>
        <w:t>7</w:t>
      </w:r>
      <w:r w:rsidRPr="004905D9">
        <w:rPr>
          <w:rFonts w:ascii="Calibri" w:hAnsi="Calibri" w:cs="Calibri"/>
          <w:sz w:val="20"/>
          <w:szCs w:val="20"/>
        </w:rPr>
        <w:t>/0</w:t>
      </w:r>
      <w:r w:rsidR="00DD0564">
        <w:rPr>
          <w:rFonts w:ascii="Calibri" w:hAnsi="Calibri" w:cs="Calibri"/>
          <w:sz w:val="20"/>
          <w:szCs w:val="20"/>
        </w:rPr>
        <w:t>9</w:t>
      </w:r>
      <w:r w:rsidRPr="004905D9">
        <w:rPr>
          <w:rFonts w:ascii="Calibri" w:hAnsi="Calibri" w:cs="Calibri"/>
          <w:sz w:val="20"/>
          <w:szCs w:val="20"/>
        </w:rPr>
        <w:t>/2024</w:t>
      </w:r>
    </w:p>
    <w:p w14:paraId="0AD6EFD8" w14:textId="3CCBF8F1" w:rsidR="004905D9" w:rsidRDefault="004905D9" w:rsidP="004905D9">
      <w:pPr>
        <w:jc w:val="center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noProof/>
          <w:sz w:val="24"/>
          <w:szCs w:val="24"/>
        </w:rPr>
        <w:drawing>
          <wp:inline distT="0" distB="0" distL="0" distR="0" wp14:anchorId="16A0D3D7" wp14:editId="512DA5B4">
            <wp:extent cx="1505230" cy="1155801"/>
            <wp:effectExtent l="0" t="0" r="0" b="6350"/>
            <wp:docPr id="2135972259" name="Imagem 5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5972259" name="Imagem 5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7730" cy="11653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EF30B3" w14:textId="7CE8D241" w:rsidR="004905D9" w:rsidRPr="004905D9" w:rsidRDefault="004905D9" w:rsidP="004905D9">
      <w:pPr>
        <w:jc w:val="center"/>
        <w:rPr>
          <w:rFonts w:ascii="Calibri" w:hAnsi="Calibri" w:cs="Calibri"/>
          <w:sz w:val="24"/>
          <w:szCs w:val="24"/>
        </w:rPr>
      </w:pPr>
      <w:r w:rsidRPr="004905D9">
        <w:rPr>
          <w:rFonts w:ascii="Calibri" w:hAnsi="Calibri" w:cs="Calibri"/>
          <w:sz w:val="24"/>
          <w:szCs w:val="24"/>
        </w:rPr>
        <w:t>GOVERNO DO ESTADO DE RONDÔNIA</w:t>
      </w:r>
    </w:p>
    <w:p w14:paraId="782C0DA7" w14:textId="56A5801F" w:rsidR="004905D9" w:rsidRDefault="004905D9" w:rsidP="004905D9">
      <w:pPr>
        <w:jc w:val="center"/>
        <w:rPr>
          <w:rFonts w:ascii="Calibri" w:hAnsi="Calibri" w:cs="Calibri"/>
          <w:sz w:val="24"/>
          <w:szCs w:val="24"/>
        </w:rPr>
      </w:pPr>
      <w:r w:rsidRPr="004905D9">
        <w:rPr>
          <w:rFonts w:ascii="Calibri" w:hAnsi="Calibri" w:cs="Calibri"/>
          <w:sz w:val="24"/>
          <w:szCs w:val="24"/>
        </w:rPr>
        <w:t xml:space="preserve">Secretaria de Estado de Finanças </w:t>
      </w:r>
      <w:r w:rsidR="00177222">
        <w:rPr>
          <w:rFonts w:ascii="Calibri" w:hAnsi="Calibri" w:cs="Calibri"/>
          <w:sz w:val="24"/>
          <w:szCs w:val="24"/>
        </w:rPr>
        <w:t>–</w:t>
      </w:r>
      <w:r w:rsidRPr="004905D9">
        <w:rPr>
          <w:rFonts w:ascii="Calibri" w:hAnsi="Calibri" w:cs="Calibri"/>
          <w:sz w:val="24"/>
          <w:szCs w:val="24"/>
        </w:rPr>
        <w:t xml:space="preserve"> SEFIN</w:t>
      </w:r>
    </w:p>
    <w:p w14:paraId="6570B24B" w14:textId="77777777" w:rsidR="00177222" w:rsidRPr="00177222" w:rsidRDefault="00177222" w:rsidP="00177222">
      <w:pPr>
        <w:jc w:val="center"/>
        <w:rPr>
          <w:rFonts w:ascii="Calibri" w:hAnsi="Calibri" w:cs="Calibri"/>
          <w:sz w:val="24"/>
          <w:szCs w:val="24"/>
        </w:rPr>
      </w:pPr>
      <w:r w:rsidRPr="00177222">
        <w:rPr>
          <w:rFonts w:ascii="Calibri" w:hAnsi="Calibri" w:cs="Calibri"/>
          <w:b/>
          <w:bCs/>
          <w:sz w:val="24"/>
          <w:szCs w:val="24"/>
        </w:rPr>
        <w:t>RESOLUÇÃO Nº 03/2024/GAB/CRE</w:t>
      </w:r>
    </w:p>
    <w:p w14:paraId="5F62707C" w14:textId="77777777" w:rsidR="00791123" w:rsidRDefault="00791123" w:rsidP="00177222">
      <w:pPr>
        <w:ind w:left="3402"/>
        <w:jc w:val="both"/>
        <w:rPr>
          <w:rFonts w:ascii="Calibri" w:hAnsi="Calibri" w:cs="Calibri"/>
          <w:sz w:val="24"/>
          <w:szCs w:val="24"/>
        </w:rPr>
      </w:pPr>
    </w:p>
    <w:p w14:paraId="2CB01434" w14:textId="263521E7" w:rsidR="00177222" w:rsidRPr="00177222" w:rsidRDefault="00177222" w:rsidP="00177222">
      <w:pPr>
        <w:ind w:left="3402"/>
        <w:jc w:val="both"/>
        <w:rPr>
          <w:rFonts w:ascii="Calibri" w:hAnsi="Calibri" w:cs="Calibri"/>
          <w:sz w:val="24"/>
          <w:szCs w:val="24"/>
        </w:rPr>
      </w:pPr>
      <w:r w:rsidRPr="00177222">
        <w:rPr>
          <w:rFonts w:ascii="Calibri" w:hAnsi="Calibri" w:cs="Calibri"/>
          <w:sz w:val="24"/>
          <w:szCs w:val="24"/>
        </w:rPr>
        <w:t>Prorroga o prazo para pagamento dos tributos estaduais administrados pela Coordenadoria da Receita Estadual e demais receitas correlatas, para a data que especifica.</w:t>
      </w:r>
    </w:p>
    <w:p w14:paraId="7A03E548" w14:textId="77777777" w:rsidR="00177222" w:rsidRPr="00177222" w:rsidRDefault="00177222" w:rsidP="00177222">
      <w:pPr>
        <w:jc w:val="both"/>
        <w:rPr>
          <w:rFonts w:ascii="Calibri" w:hAnsi="Calibri" w:cs="Calibri"/>
          <w:sz w:val="24"/>
          <w:szCs w:val="24"/>
        </w:rPr>
      </w:pPr>
      <w:r w:rsidRPr="00177222">
        <w:rPr>
          <w:rFonts w:ascii="Calibri" w:hAnsi="Calibri" w:cs="Calibri"/>
          <w:sz w:val="24"/>
          <w:szCs w:val="24"/>
        </w:rPr>
        <w:t> </w:t>
      </w:r>
    </w:p>
    <w:p w14:paraId="027FE58F" w14:textId="77777777" w:rsidR="00177222" w:rsidRPr="00177222" w:rsidRDefault="00177222" w:rsidP="00177222">
      <w:pPr>
        <w:jc w:val="both"/>
        <w:rPr>
          <w:rFonts w:ascii="Calibri" w:hAnsi="Calibri" w:cs="Calibri"/>
          <w:sz w:val="24"/>
          <w:szCs w:val="24"/>
        </w:rPr>
      </w:pPr>
      <w:r w:rsidRPr="00177222">
        <w:rPr>
          <w:rFonts w:ascii="Calibri" w:hAnsi="Calibri" w:cs="Calibri"/>
          <w:b/>
          <w:bCs/>
          <w:sz w:val="24"/>
          <w:szCs w:val="24"/>
        </w:rPr>
        <w:t>O COORDENADOR-GERAL DA RECEITA ESTADUAL</w:t>
      </w:r>
      <w:r w:rsidRPr="00177222">
        <w:rPr>
          <w:rFonts w:ascii="Calibri" w:hAnsi="Calibri" w:cs="Calibri"/>
          <w:sz w:val="24"/>
          <w:szCs w:val="24"/>
        </w:rPr>
        <w:t>, no uso da prerrogativa que lhe confere o art. 59 do RICMS/RO;</w:t>
      </w:r>
    </w:p>
    <w:p w14:paraId="7F964FB9" w14:textId="77777777" w:rsidR="00177222" w:rsidRPr="00177222" w:rsidRDefault="00177222" w:rsidP="00177222">
      <w:pPr>
        <w:jc w:val="both"/>
        <w:rPr>
          <w:rFonts w:ascii="Calibri" w:hAnsi="Calibri" w:cs="Calibri"/>
          <w:sz w:val="24"/>
          <w:szCs w:val="24"/>
        </w:rPr>
      </w:pPr>
      <w:r w:rsidRPr="00177222">
        <w:rPr>
          <w:rFonts w:ascii="Calibri" w:hAnsi="Calibri" w:cs="Calibri"/>
          <w:sz w:val="24"/>
          <w:szCs w:val="24"/>
        </w:rPr>
        <w:t> </w:t>
      </w:r>
    </w:p>
    <w:p w14:paraId="447D75ED" w14:textId="77777777" w:rsidR="00177222" w:rsidRPr="00177222" w:rsidRDefault="00177222" w:rsidP="00177222">
      <w:pPr>
        <w:jc w:val="both"/>
        <w:rPr>
          <w:rFonts w:ascii="Calibri" w:hAnsi="Calibri" w:cs="Calibri"/>
          <w:sz w:val="24"/>
          <w:szCs w:val="24"/>
        </w:rPr>
      </w:pPr>
      <w:r w:rsidRPr="00177222">
        <w:rPr>
          <w:rFonts w:ascii="Calibri" w:hAnsi="Calibri" w:cs="Calibri"/>
          <w:b/>
          <w:bCs/>
          <w:sz w:val="24"/>
          <w:szCs w:val="24"/>
        </w:rPr>
        <w:t>CONSIDERANDO</w:t>
      </w:r>
      <w:r w:rsidRPr="00177222">
        <w:rPr>
          <w:rFonts w:ascii="Calibri" w:hAnsi="Calibri" w:cs="Calibri"/>
          <w:sz w:val="24"/>
          <w:szCs w:val="24"/>
        </w:rPr>
        <w:t> a instabilidade dos sistemas SEFIN nos dias 25 a 27 de setembro do corrente ano;</w:t>
      </w:r>
    </w:p>
    <w:p w14:paraId="1C21F079" w14:textId="77777777" w:rsidR="00177222" w:rsidRPr="00177222" w:rsidRDefault="00177222" w:rsidP="00177222">
      <w:pPr>
        <w:jc w:val="both"/>
        <w:rPr>
          <w:rFonts w:ascii="Calibri" w:hAnsi="Calibri" w:cs="Calibri"/>
          <w:sz w:val="24"/>
          <w:szCs w:val="24"/>
        </w:rPr>
      </w:pPr>
      <w:r w:rsidRPr="00177222">
        <w:rPr>
          <w:rFonts w:ascii="Calibri" w:hAnsi="Calibri" w:cs="Calibri"/>
          <w:sz w:val="24"/>
          <w:szCs w:val="24"/>
        </w:rPr>
        <w:t> </w:t>
      </w:r>
    </w:p>
    <w:p w14:paraId="5D131098" w14:textId="77777777" w:rsidR="00177222" w:rsidRPr="00177222" w:rsidRDefault="00177222" w:rsidP="00177222">
      <w:pPr>
        <w:jc w:val="both"/>
        <w:rPr>
          <w:rFonts w:ascii="Calibri" w:hAnsi="Calibri" w:cs="Calibri"/>
          <w:sz w:val="24"/>
          <w:szCs w:val="24"/>
        </w:rPr>
      </w:pPr>
      <w:r w:rsidRPr="00177222">
        <w:rPr>
          <w:rFonts w:ascii="Calibri" w:hAnsi="Calibri" w:cs="Calibri"/>
          <w:b/>
          <w:bCs/>
          <w:sz w:val="24"/>
          <w:szCs w:val="24"/>
          <w:u w:val="single"/>
        </w:rPr>
        <w:t>R</w:t>
      </w:r>
      <w:r w:rsidRPr="00177222">
        <w:rPr>
          <w:rFonts w:ascii="Calibri" w:hAnsi="Calibri" w:cs="Calibri"/>
          <w:b/>
          <w:bCs/>
          <w:sz w:val="24"/>
          <w:szCs w:val="24"/>
        </w:rPr>
        <w:t> </w:t>
      </w:r>
      <w:r w:rsidRPr="00177222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177222">
        <w:rPr>
          <w:rFonts w:ascii="Calibri" w:hAnsi="Calibri" w:cs="Calibri"/>
          <w:b/>
          <w:bCs/>
          <w:sz w:val="24"/>
          <w:szCs w:val="24"/>
        </w:rPr>
        <w:t> </w:t>
      </w:r>
      <w:r w:rsidRPr="00177222">
        <w:rPr>
          <w:rFonts w:ascii="Calibri" w:hAnsi="Calibri" w:cs="Calibri"/>
          <w:b/>
          <w:bCs/>
          <w:sz w:val="24"/>
          <w:szCs w:val="24"/>
          <w:u w:val="single"/>
        </w:rPr>
        <w:t>S</w:t>
      </w:r>
      <w:r w:rsidRPr="00177222">
        <w:rPr>
          <w:rFonts w:ascii="Calibri" w:hAnsi="Calibri" w:cs="Calibri"/>
          <w:b/>
          <w:bCs/>
          <w:sz w:val="24"/>
          <w:szCs w:val="24"/>
        </w:rPr>
        <w:t> </w:t>
      </w:r>
      <w:r w:rsidRPr="00177222">
        <w:rPr>
          <w:rFonts w:ascii="Calibri" w:hAnsi="Calibri" w:cs="Calibri"/>
          <w:b/>
          <w:bCs/>
          <w:sz w:val="24"/>
          <w:szCs w:val="24"/>
          <w:u w:val="single"/>
        </w:rPr>
        <w:t>O</w:t>
      </w:r>
      <w:r w:rsidRPr="00177222">
        <w:rPr>
          <w:rFonts w:ascii="Calibri" w:hAnsi="Calibri" w:cs="Calibri"/>
          <w:b/>
          <w:bCs/>
          <w:sz w:val="24"/>
          <w:szCs w:val="24"/>
        </w:rPr>
        <w:t> </w:t>
      </w:r>
      <w:r w:rsidRPr="00177222">
        <w:rPr>
          <w:rFonts w:ascii="Calibri" w:hAnsi="Calibri" w:cs="Calibri"/>
          <w:b/>
          <w:bCs/>
          <w:sz w:val="24"/>
          <w:szCs w:val="24"/>
          <w:u w:val="single"/>
        </w:rPr>
        <w:t>L</w:t>
      </w:r>
      <w:r w:rsidRPr="00177222">
        <w:rPr>
          <w:rFonts w:ascii="Calibri" w:hAnsi="Calibri" w:cs="Calibri"/>
          <w:b/>
          <w:bCs/>
          <w:sz w:val="24"/>
          <w:szCs w:val="24"/>
        </w:rPr>
        <w:t> </w:t>
      </w:r>
      <w:r w:rsidRPr="00177222">
        <w:rPr>
          <w:rFonts w:ascii="Calibri" w:hAnsi="Calibri" w:cs="Calibri"/>
          <w:b/>
          <w:bCs/>
          <w:sz w:val="24"/>
          <w:szCs w:val="24"/>
          <w:u w:val="single"/>
        </w:rPr>
        <w:t>V</w:t>
      </w:r>
      <w:r w:rsidRPr="00177222">
        <w:rPr>
          <w:rFonts w:ascii="Calibri" w:hAnsi="Calibri" w:cs="Calibri"/>
          <w:b/>
          <w:bCs/>
          <w:sz w:val="24"/>
          <w:szCs w:val="24"/>
        </w:rPr>
        <w:t> </w:t>
      </w:r>
      <w:r w:rsidRPr="00177222">
        <w:rPr>
          <w:rFonts w:ascii="Calibri" w:hAnsi="Calibri" w:cs="Calibri"/>
          <w:b/>
          <w:bCs/>
          <w:sz w:val="24"/>
          <w:szCs w:val="24"/>
          <w:u w:val="single"/>
        </w:rPr>
        <w:t>E:</w:t>
      </w:r>
    </w:p>
    <w:p w14:paraId="3F7091BA" w14:textId="77777777" w:rsidR="00177222" w:rsidRPr="00177222" w:rsidRDefault="00177222" w:rsidP="00177222">
      <w:pPr>
        <w:jc w:val="both"/>
        <w:rPr>
          <w:rFonts w:ascii="Calibri" w:hAnsi="Calibri" w:cs="Calibri"/>
          <w:sz w:val="24"/>
          <w:szCs w:val="24"/>
        </w:rPr>
      </w:pPr>
      <w:r w:rsidRPr="00177222">
        <w:rPr>
          <w:rFonts w:ascii="Calibri" w:hAnsi="Calibri" w:cs="Calibri"/>
          <w:sz w:val="24"/>
          <w:szCs w:val="24"/>
        </w:rPr>
        <w:t> </w:t>
      </w:r>
    </w:p>
    <w:p w14:paraId="5C9365BC" w14:textId="77777777" w:rsidR="00177222" w:rsidRPr="00177222" w:rsidRDefault="00177222" w:rsidP="00177222">
      <w:pPr>
        <w:jc w:val="both"/>
        <w:rPr>
          <w:rFonts w:ascii="Calibri" w:hAnsi="Calibri" w:cs="Calibri"/>
          <w:sz w:val="24"/>
          <w:szCs w:val="24"/>
        </w:rPr>
      </w:pPr>
      <w:r w:rsidRPr="00177222">
        <w:rPr>
          <w:rFonts w:ascii="Calibri" w:hAnsi="Calibri" w:cs="Calibri"/>
          <w:b/>
          <w:bCs/>
          <w:sz w:val="24"/>
          <w:szCs w:val="24"/>
        </w:rPr>
        <w:t>Art. 1º</w:t>
      </w:r>
      <w:r w:rsidRPr="00177222">
        <w:rPr>
          <w:rFonts w:ascii="Calibri" w:hAnsi="Calibri" w:cs="Calibri"/>
          <w:sz w:val="24"/>
          <w:szCs w:val="24"/>
        </w:rPr>
        <w:t> Fica prorrogado, para o dia 30 de setembro de 2024, o prazo de pagamento dos tributos estaduais administrados pela Coordenadoria da Receita Estadual e demais receitas correlatas, cujos vencimentos originais ocorram no período de 25 a 27 de setembro do corrente ano.</w:t>
      </w:r>
    </w:p>
    <w:p w14:paraId="1DB2BCFC" w14:textId="77777777" w:rsidR="00177222" w:rsidRPr="00177222" w:rsidRDefault="00177222" w:rsidP="00177222">
      <w:pPr>
        <w:jc w:val="both"/>
        <w:rPr>
          <w:rFonts w:ascii="Calibri" w:hAnsi="Calibri" w:cs="Calibri"/>
          <w:sz w:val="24"/>
          <w:szCs w:val="24"/>
        </w:rPr>
      </w:pPr>
      <w:r w:rsidRPr="00177222">
        <w:rPr>
          <w:rFonts w:ascii="Calibri" w:hAnsi="Calibri" w:cs="Calibri"/>
          <w:sz w:val="24"/>
          <w:szCs w:val="24"/>
        </w:rPr>
        <w:t> </w:t>
      </w:r>
    </w:p>
    <w:p w14:paraId="6D08C14C" w14:textId="407AA4E6" w:rsidR="00177222" w:rsidRPr="00177222" w:rsidRDefault="00177222" w:rsidP="00177222">
      <w:pPr>
        <w:jc w:val="both"/>
        <w:rPr>
          <w:rFonts w:ascii="Calibri" w:hAnsi="Calibri" w:cs="Calibri"/>
          <w:sz w:val="24"/>
          <w:szCs w:val="24"/>
        </w:rPr>
      </w:pPr>
      <w:r w:rsidRPr="00177222">
        <w:rPr>
          <w:rFonts w:ascii="Calibri" w:hAnsi="Calibri" w:cs="Calibri"/>
          <w:b/>
          <w:bCs/>
          <w:sz w:val="24"/>
          <w:szCs w:val="24"/>
        </w:rPr>
        <w:t>Art. 2º </w:t>
      </w:r>
      <w:r w:rsidRPr="00177222">
        <w:rPr>
          <w:rFonts w:ascii="Calibri" w:hAnsi="Calibri" w:cs="Calibri"/>
          <w:sz w:val="24"/>
          <w:szCs w:val="24"/>
        </w:rPr>
        <w:t>Esta Resolução entra em vigor na data de sua publicação.</w:t>
      </w:r>
    </w:p>
    <w:p w14:paraId="03EC71D4" w14:textId="77777777" w:rsidR="00177222" w:rsidRPr="00177222" w:rsidRDefault="00177222" w:rsidP="00177222">
      <w:pPr>
        <w:jc w:val="both"/>
        <w:rPr>
          <w:rFonts w:ascii="Calibri" w:hAnsi="Calibri" w:cs="Calibri"/>
          <w:sz w:val="24"/>
          <w:szCs w:val="24"/>
        </w:rPr>
      </w:pPr>
      <w:r w:rsidRPr="00177222">
        <w:rPr>
          <w:rFonts w:ascii="Calibri" w:hAnsi="Calibri" w:cs="Calibri"/>
          <w:sz w:val="24"/>
          <w:szCs w:val="24"/>
        </w:rPr>
        <w:t> </w:t>
      </w:r>
    </w:p>
    <w:p w14:paraId="20D7972D" w14:textId="77777777" w:rsidR="00177222" w:rsidRPr="00177222" w:rsidRDefault="00177222" w:rsidP="00177222">
      <w:pPr>
        <w:jc w:val="both"/>
        <w:rPr>
          <w:rFonts w:ascii="Calibri" w:hAnsi="Calibri" w:cs="Calibri"/>
          <w:sz w:val="24"/>
          <w:szCs w:val="24"/>
        </w:rPr>
      </w:pPr>
      <w:r w:rsidRPr="00177222">
        <w:rPr>
          <w:rFonts w:ascii="Calibri" w:hAnsi="Calibri" w:cs="Calibri"/>
          <w:sz w:val="24"/>
          <w:szCs w:val="24"/>
        </w:rPr>
        <w:t> </w:t>
      </w:r>
    </w:p>
    <w:p w14:paraId="09CF65EE" w14:textId="77777777" w:rsidR="00177222" w:rsidRPr="00177222" w:rsidRDefault="00177222" w:rsidP="00177222">
      <w:pPr>
        <w:jc w:val="center"/>
        <w:rPr>
          <w:rFonts w:ascii="Calibri" w:hAnsi="Calibri" w:cs="Calibri"/>
          <w:sz w:val="24"/>
          <w:szCs w:val="24"/>
        </w:rPr>
      </w:pPr>
      <w:r w:rsidRPr="00177222">
        <w:rPr>
          <w:rFonts w:ascii="Calibri" w:hAnsi="Calibri" w:cs="Calibri"/>
          <w:b/>
          <w:bCs/>
          <w:sz w:val="24"/>
          <w:szCs w:val="24"/>
        </w:rPr>
        <w:t>PATRICK ROBERTSON DE CARVALHO</w:t>
      </w:r>
    </w:p>
    <w:p w14:paraId="748600FF" w14:textId="77777777" w:rsidR="00177222" w:rsidRPr="00177222" w:rsidRDefault="00177222" w:rsidP="00177222">
      <w:pPr>
        <w:jc w:val="center"/>
        <w:rPr>
          <w:rFonts w:ascii="Calibri" w:hAnsi="Calibri" w:cs="Calibri"/>
          <w:sz w:val="24"/>
          <w:szCs w:val="24"/>
        </w:rPr>
      </w:pPr>
      <w:r w:rsidRPr="00177222">
        <w:rPr>
          <w:rFonts w:ascii="Calibri" w:hAnsi="Calibri" w:cs="Calibri"/>
          <w:sz w:val="24"/>
          <w:szCs w:val="24"/>
        </w:rPr>
        <w:t>Coordenador-Geral da Receita Estadual Substituto</w:t>
      </w:r>
    </w:p>
    <w:p w14:paraId="53E136EA" w14:textId="77777777" w:rsidR="00177222" w:rsidRDefault="00177222" w:rsidP="00177222">
      <w:pPr>
        <w:jc w:val="center"/>
        <w:rPr>
          <w:rFonts w:ascii="Calibri" w:hAnsi="Calibri" w:cs="Calibri"/>
          <w:sz w:val="24"/>
          <w:szCs w:val="24"/>
        </w:rPr>
      </w:pPr>
      <w:r w:rsidRPr="00177222">
        <w:rPr>
          <w:rFonts w:ascii="Calibri" w:hAnsi="Calibri" w:cs="Calibri"/>
          <w:sz w:val="24"/>
          <w:szCs w:val="24"/>
        </w:rPr>
        <w:t>Portaria </w:t>
      </w:r>
      <w:hyperlink r:id="rId5" w:tgtFrame="_blank" w:history="1">
        <w:r w:rsidRPr="00177222">
          <w:rPr>
            <w:rStyle w:val="Hyperlink"/>
            <w:rFonts w:ascii="Calibri" w:hAnsi="Calibri" w:cs="Calibri"/>
            <w:sz w:val="24"/>
            <w:szCs w:val="24"/>
          </w:rPr>
          <w:t>0047746521</w:t>
        </w:r>
      </w:hyperlink>
    </w:p>
    <w:p w14:paraId="14A71D85" w14:textId="77777777" w:rsidR="00177222" w:rsidRDefault="00177222" w:rsidP="00177222">
      <w:pPr>
        <w:jc w:val="center"/>
        <w:rPr>
          <w:rFonts w:ascii="Calibri" w:hAnsi="Calibri" w:cs="Calibri"/>
          <w:sz w:val="24"/>
          <w:szCs w:val="24"/>
        </w:rPr>
      </w:pPr>
    </w:p>
    <w:p w14:paraId="0B47DFDE" w14:textId="77777777" w:rsidR="00177222" w:rsidRDefault="00177222" w:rsidP="00177222">
      <w:pPr>
        <w:jc w:val="center"/>
        <w:rPr>
          <w:rFonts w:ascii="Calibri" w:hAnsi="Calibri" w:cs="Calibri"/>
          <w:sz w:val="24"/>
          <w:szCs w:val="24"/>
        </w:rPr>
      </w:pPr>
    </w:p>
    <w:p w14:paraId="52B66C1C" w14:textId="77777777" w:rsidR="00177222" w:rsidRDefault="00177222" w:rsidP="00177222">
      <w:pPr>
        <w:jc w:val="both"/>
        <w:rPr>
          <w:rFonts w:ascii="Calibri" w:hAnsi="Calibri" w:cs="Calibri"/>
          <w:sz w:val="20"/>
          <w:szCs w:val="20"/>
        </w:rPr>
      </w:pPr>
    </w:p>
    <w:p w14:paraId="020487A7" w14:textId="6D403176" w:rsidR="00177222" w:rsidRPr="00177222" w:rsidRDefault="00791123" w:rsidP="00177222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lastRenderedPageBreak/>
        <w:pict w14:anchorId="52851A7C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177222" w:rsidRPr="00177222" w14:paraId="2D438398" w14:textId="77777777" w:rsidTr="0017722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2D4C094" w14:textId="62685768" w:rsidR="00177222" w:rsidRPr="00177222" w:rsidRDefault="00177222" w:rsidP="00177222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77222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5755E9A7" wp14:editId="2C2D56D1">
                  <wp:extent cx="845820" cy="571500"/>
                  <wp:effectExtent l="0" t="0" r="0" b="0"/>
                  <wp:docPr id="156860945" name="Imagem 4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6EC9601" w14:textId="77777777" w:rsidR="00177222" w:rsidRPr="00177222" w:rsidRDefault="00177222" w:rsidP="00177222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77222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177222">
              <w:rPr>
                <w:rFonts w:ascii="Calibri" w:hAnsi="Calibri" w:cs="Calibri"/>
                <w:b/>
                <w:bCs/>
                <w:sz w:val="20"/>
                <w:szCs w:val="20"/>
              </w:rPr>
              <w:t>Patrick Robertson de Carvalho</w:t>
            </w:r>
            <w:r w:rsidRPr="00177222">
              <w:rPr>
                <w:rFonts w:ascii="Calibri" w:hAnsi="Calibri" w:cs="Calibri"/>
                <w:sz w:val="20"/>
                <w:szCs w:val="20"/>
              </w:rPr>
              <w:t>, </w:t>
            </w:r>
            <w:r w:rsidRPr="00177222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177222">
              <w:rPr>
                <w:rFonts w:ascii="Calibri" w:hAnsi="Calibri" w:cs="Calibri"/>
                <w:sz w:val="20"/>
                <w:szCs w:val="20"/>
              </w:rPr>
              <w:t>, em 27/09/2024, às 12:14, conforme horário oficial de Brasília, com fundamento no artigo 18 caput e seus §§ 1º e 2º, do </w:t>
            </w:r>
            <w:hyperlink r:id="rId7" w:tgtFrame="_blank" w:tooltip="Acesse o Decreto" w:history="1">
              <w:r w:rsidRPr="00177222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121C2B40" w14:textId="77777777" w:rsidR="00177222" w:rsidRPr="00177222" w:rsidRDefault="00791123" w:rsidP="00177222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15F18702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01"/>
      </w:tblGrid>
      <w:tr w:rsidR="00177222" w:rsidRPr="00177222" w14:paraId="70E97938" w14:textId="77777777" w:rsidTr="0017722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DB3DF3C" w14:textId="3857A83A" w:rsidR="00177222" w:rsidRPr="00177222" w:rsidRDefault="00177222" w:rsidP="00177222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77222">
              <w:rPr>
                <w:rFonts w:ascii="Calibri" w:hAnsi="Calibri" w:cs="Calibri"/>
                <w:noProof/>
                <w:sz w:val="20"/>
                <w:szCs w:val="20"/>
              </w:rPr>
              <w:drawing>
                <wp:inline distT="0" distB="0" distL="0" distR="0" wp14:anchorId="6DD51B4F" wp14:editId="3C6636F8">
                  <wp:extent cx="822960" cy="822960"/>
                  <wp:effectExtent l="0" t="0" r="0" b="0"/>
                  <wp:docPr id="1133063132" name="Imagem 3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887E859" w14:textId="77777777" w:rsidR="00177222" w:rsidRPr="00177222" w:rsidRDefault="00177222" w:rsidP="00177222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177222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177222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177222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177222">
              <w:rPr>
                <w:rFonts w:ascii="Calibri" w:hAnsi="Calibri" w:cs="Calibri"/>
                <w:b/>
                <w:bCs/>
                <w:sz w:val="20"/>
                <w:szCs w:val="20"/>
              </w:rPr>
              <w:t>0053283333</w:t>
            </w:r>
            <w:r w:rsidRPr="00177222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177222">
              <w:rPr>
                <w:rFonts w:ascii="Calibri" w:hAnsi="Calibri" w:cs="Calibri"/>
                <w:b/>
                <w:bCs/>
                <w:sz w:val="20"/>
                <w:szCs w:val="20"/>
              </w:rPr>
              <w:t>4E793A75</w:t>
            </w:r>
            <w:r w:rsidRPr="00177222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47DC3FD8" w14:textId="77777777" w:rsidR="00177222" w:rsidRPr="00177222" w:rsidRDefault="00791123" w:rsidP="00177222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pict w14:anchorId="23859FC2">
          <v:rect id="_x0000_i1027" style="width:0;height:1.5pt" o:hralign="center" o:hrstd="t" o:hr="t" fillcolor="#a0a0a0" stroked="f"/>
        </w:pict>
      </w:r>
    </w:p>
    <w:p w14:paraId="418EF06B" w14:textId="77777777" w:rsidR="00177222" w:rsidRPr="004905D9" w:rsidRDefault="00177222" w:rsidP="004905D9">
      <w:pPr>
        <w:jc w:val="center"/>
        <w:rPr>
          <w:rFonts w:ascii="Calibri" w:hAnsi="Calibri" w:cs="Calibri"/>
          <w:sz w:val="24"/>
          <w:szCs w:val="24"/>
        </w:rPr>
      </w:pPr>
    </w:p>
    <w:sectPr w:rsidR="00177222" w:rsidRPr="004905D9" w:rsidSect="004905D9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5D9"/>
    <w:rsid w:val="000B167E"/>
    <w:rsid w:val="0016048C"/>
    <w:rsid w:val="00177222"/>
    <w:rsid w:val="001B4743"/>
    <w:rsid w:val="002823F3"/>
    <w:rsid w:val="002A7AC3"/>
    <w:rsid w:val="002E0D6D"/>
    <w:rsid w:val="002F2667"/>
    <w:rsid w:val="00326361"/>
    <w:rsid w:val="003D2263"/>
    <w:rsid w:val="003D28A7"/>
    <w:rsid w:val="00441080"/>
    <w:rsid w:val="0047291D"/>
    <w:rsid w:val="004905D9"/>
    <w:rsid w:val="004B4E37"/>
    <w:rsid w:val="005B25FB"/>
    <w:rsid w:val="005E5089"/>
    <w:rsid w:val="00605FFF"/>
    <w:rsid w:val="00675B2E"/>
    <w:rsid w:val="00763A9A"/>
    <w:rsid w:val="007678E8"/>
    <w:rsid w:val="00791123"/>
    <w:rsid w:val="00844415"/>
    <w:rsid w:val="00866FB1"/>
    <w:rsid w:val="008D60CD"/>
    <w:rsid w:val="009551FD"/>
    <w:rsid w:val="009608CC"/>
    <w:rsid w:val="00AE5E0F"/>
    <w:rsid w:val="00B27400"/>
    <w:rsid w:val="00B82985"/>
    <w:rsid w:val="00CB7384"/>
    <w:rsid w:val="00D2520D"/>
    <w:rsid w:val="00D97A3B"/>
    <w:rsid w:val="00DD0564"/>
    <w:rsid w:val="00E91A97"/>
    <w:rsid w:val="00EC77AB"/>
    <w:rsid w:val="00F30C32"/>
    <w:rsid w:val="00F40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7D4A7865"/>
  <w15:chartTrackingRefBased/>
  <w15:docId w15:val="{7CEA5D98-5150-494B-A0C7-C92D9910B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4905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4905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4905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4905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4905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4905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4905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4905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4905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4905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4905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4905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4905D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4905D9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4905D9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4905D9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4905D9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4905D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4905D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4905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4905D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4905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4905D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4905D9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4905D9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4905D9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4905D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4905D9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4905D9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4905D9"/>
    <w:rPr>
      <w:b/>
      <w:bCs/>
    </w:rPr>
  </w:style>
  <w:style w:type="paragraph" w:customStyle="1" w:styleId="newtextoalinhadodireita">
    <w:name w:val="new_texto_alinhado_direita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uoprimeiralinha">
    <w:name w:val="new_texto_justificado_recuo_primeira_linha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unhideWhenUsed/>
    <w:rsid w:val="004905D9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4905D9"/>
    <w:rPr>
      <w:color w:val="800080"/>
      <w:u w:val="single"/>
    </w:rPr>
  </w:style>
  <w:style w:type="paragraph" w:customStyle="1" w:styleId="newcentralizartexto">
    <w:name w:val="new_centralizar_texto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alinhadodireita">
    <w:name w:val="new_tabela_texto_alinhado_direita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primeirlinhaespsimp">
    <w:name w:val="new_texto_justificado_rec_primeir_linha_esp_simp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centralizado">
    <w:name w:val="new_texto_centralizado"/>
    <w:basedOn w:val="Normal"/>
    <w:rsid w:val="004905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MenoPendente">
    <w:name w:val="Unresolved Mention"/>
    <w:basedOn w:val="Fontepargpadro"/>
    <w:uiPriority w:val="99"/>
    <w:semiHidden/>
    <w:unhideWhenUsed/>
    <w:rsid w:val="004905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937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514939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513884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1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439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438381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03095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22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6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37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69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2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07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67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35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373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67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8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0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21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hyperlink" Target="http://sei.sistemas.ro.gov.br/sei/controlador.php?acao=protocolo_visualizar&amp;id_protocolo=49092915&amp;id_procedimento_atual=54960032&amp;infra_sistema=100000100&amp;infra_unidade_atual=110002274&amp;infra_hash=3e74c17f99dd9f601d0c50488fe8fe1b432ce2fe217ec135458f870c580173d81cecafedb7484cd8e16b175a6eef9d99f7c0ec54bbce6efe1b0931ac10ed7fa95caa5eb13d10b746a076b6e95f5d8908ab142ef02ad70f756c2974e36ab7bdf3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341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RESOLUÇÃO Nº 032024GABCRE</dc:title>
  <dc:subject>Prorroga o prazo para pagamento dos tributos estaduais administrados pela Coordenadoria da Receita Estadual e demais receitas correlatas, para a data que especifica.</dc:subject>
  <dc:creator>Claudio Huther de Moraes</dc:creator>
  <cp:keywords/>
  <dc:description/>
  <cp:lastModifiedBy>Mariana Cavalcante Maciel</cp:lastModifiedBy>
  <cp:revision>6</cp:revision>
  <cp:lastPrinted>2024-09-27T12:45:00Z</cp:lastPrinted>
  <dcterms:created xsi:type="dcterms:W3CDTF">2024-09-27T15:18:00Z</dcterms:created>
  <dcterms:modified xsi:type="dcterms:W3CDTF">2024-09-27T15:26:00Z</dcterms:modified>
</cp:coreProperties>
</file>