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0D1249" w14:textId="22413082" w:rsidR="00317623" w:rsidRPr="00317623" w:rsidRDefault="00317623" w:rsidP="00317623">
      <w:pPr>
        <w:spacing w:after="0" w:line="240" w:lineRule="auto"/>
        <w:rPr>
          <w:rFonts w:ascii="Calibri" w:hAnsi="Calibri" w:cs="Calibri"/>
          <w:color w:val="E74C3C"/>
          <w:sz w:val="20"/>
          <w:szCs w:val="20"/>
          <w:shd w:val="clear" w:color="auto" w:fill="FFFFFF"/>
        </w:rPr>
      </w:pPr>
      <w:r w:rsidRPr="00317623">
        <w:rPr>
          <w:rFonts w:ascii="Calibri" w:hAnsi="Calibri" w:cs="Calibri"/>
          <w:color w:val="E74C3C"/>
          <w:sz w:val="20"/>
          <w:szCs w:val="20"/>
          <w:shd w:val="clear" w:color="auto" w:fill="FFFFFF"/>
        </w:rPr>
        <w:t>* Este texto não substitui o publicado no DOE</w:t>
      </w:r>
    </w:p>
    <w:p w14:paraId="127EEEBD" w14:textId="77777777" w:rsidR="00317623" w:rsidRPr="00317623" w:rsidRDefault="00317623" w:rsidP="00317623">
      <w:pPr>
        <w:spacing w:after="0" w:line="240" w:lineRule="auto"/>
        <w:rPr>
          <w:rFonts w:ascii="Calibri" w:eastAsia="Times New Roman" w:hAnsi="Calibri" w:cs="Calibri"/>
          <w:color w:val="000000"/>
          <w:kern w:val="0"/>
          <w:sz w:val="20"/>
          <w:szCs w:val="20"/>
          <w:lang w:eastAsia="pt-BR"/>
          <w14:ligatures w14:val="none"/>
        </w:rPr>
      </w:pPr>
    </w:p>
    <w:p w14:paraId="7BD31D1C" w14:textId="6CE939C3" w:rsidR="00317623" w:rsidRPr="00317623" w:rsidRDefault="00317623" w:rsidP="00317623">
      <w:pPr>
        <w:spacing w:after="0" w:line="240" w:lineRule="auto"/>
        <w:rPr>
          <w:rFonts w:ascii="Calibri" w:eastAsia="Times New Roman" w:hAnsi="Calibri" w:cs="Calibri"/>
          <w:color w:val="000000"/>
          <w:kern w:val="0"/>
          <w:sz w:val="20"/>
          <w:szCs w:val="20"/>
          <w:lang w:eastAsia="pt-BR"/>
          <w14:ligatures w14:val="none"/>
        </w:rPr>
      </w:pPr>
      <w:r w:rsidRPr="00317623">
        <w:rPr>
          <w:rFonts w:ascii="Calibri" w:eastAsia="Times New Roman" w:hAnsi="Calibri" w:cs="Calibri"/>
          <w:color w:val="000000"/>
          <w:kern w:val="0"/>
          <w:sz w:val="20"/>
          <w:szCs w:val="20"/>
          <w:lang w:eastAsia="pt-BR"/>
          <w14:ligatures w14:val="none"/>
        </w:rPr>
        <w:t>Diário Oficial do Estado de Rondônia nº 29</w:t>
      </w:r>
      <w:r w:rsidR="00435C29">
        <w:rPr>
          <w:rFonts w:ascii="Calibri" w:eastAsia="Times New Roman" w:hAnsi="Calibri" w:cs="Calibri"/>
          <w:color w:val="000000"/>
          <w:kern w:val="0"/>
          <w:sz w:val="20"/>
          <w:szCs w:val="20"/>
          <w:lang w:eastAsia="pt-BR"/>
          <w14:ligatures w14:val="none"/>
        </w:rPr>
        <w:t>.1 Suplementar</w:t>
      </w:r>
      <w:r w:rsidRPr="00317623">
        <w:rPr>
          <w:rFonts w:ascii="Calibri" w:eastAsia="Times New Roman" w:hAnsi="Calibri" w:cs="Calibri"/>
          <w:color w:val="000000"/>
          <w:kern w:val="0"/>
          <w:sz w:val="20"/>
          <w:szCs w:val="20"/>
          <w:lang w:eastAsia="pt-BR"/>
          <w14:ligatures w14:val="none"/>
        </w:rPr>
        <w:br/>
        <w:t>Disponibilização: 19/02/2024</w:t>
      </w:r>
      <w:r w:rsidRPr="00317623">
        <w:rPr>
          <w:rFonts w:ascii="Calibri" w:eastAsia="Times New Roman" w:hAnsi="Calibri" w:cs="Calibri"/>
          <w:color w:val="000000"/>
          <w:kern w:val="0"/>
          <w:sz w:val="20"/>
          <w:szCs w:val="20"/>
          <w:lang w:eastAsia="pt-BR"/>
          <w14:ligatures w14:val="none"/>
        </w:rPr>
        <w:br/>
        <w:t>Publicação: 16/02/2024</w:t>
      </w:r>
    </w:p>
    <w:p w14:paraId="37193661" w14:textId="400C4A9B" w:rsidR="00317623" w:rsidRPr="00317623" w:rsidRDefault="00317623" w:rsidP="00317623">
      <w:pPr>
        <w:spacing w:after="0" w:line="240" w:lineRule="auto"/>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62209BFD" w14:textId="48A380C6" w:rsidR="00317623" w:rsidRDefault="00317623" w:rsidP="00317623">
      <w:pPr>
        <w:spacing w:after="0" w:line="240" w:lineRule="auto"/>
        <w:jc w:val="center"/>
        <w:rPr>
          <w:rFonts w:ascii="Calibri" w:eastAsia="Times New Roman" w:hAnsi="Calibri" w:cs="Calibri"/>
          <w:color w:val="000000"/>
          <w:kern w:val="0"/>
          <w:sz w:val="24"/>
          <w:szCs w:val="24"/>
          <w:lang w:eastAsia="pt-BR"/>
          <w14:ligatures w14:val="none"/>
        </w:rPr>
      </w:pPr>
      <w:r>
        <w:rPr>
          <w:rFonts w:ascii="Calibri" w:eastAsia="Times New Roman" w:hAnsi="Calibri" w:cs="Calibri"/>
          <w:noProof/>
          <w:color w:val="000000"/>
          <w:kern w:val="0"/>
          <w:sz w:val="24"/>
          <w:szCs w:val="24"/>
          <w:lang w:eastAsia="pt-BR"/>
        </w:rPr>
        <w:drawing>
          <wp:inline distT="0" distB="0" distL="0" distR="0" wp14:anchorId="43901714" wp14:editId="6612D4EF">
            <wp:extent cx="1695766" cy="1302106"/>
            <wp:effectExtent l="0" t="0" r="0" b="0"/>
            <wp:docPr id="1675942383" name="Imagem 4" descr="Imagem digital fictícia de personagem de desenho animad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942383" name="Imagem 4" descr="Imagem digital fictícia de personagem de desenho animado&#10;&#10;Descrição gerada automaticamente com confiança baixa"/>
                    <pic:cNvPicPr/>
                  </pic:nvPicPr>
                  <pic:blipFill>
                    <a:blip r:embed="rId4">
                      <a:extLst>
                        <a:ext uri="{28A0092B-C50C-407E-A947-70E740481C1C}">
                          <a14:useLocalDpi xmlns:a14="http://schemas.microsoft.com/office/drawing/2010/main" val="0"/>
                        </a:ext>
                      </a:extLst>
                    </a:blip>
                    <a:stretch>
                      <a:fillRect/>
                    </a:stretch>
                  </pic:blipFill>
                  <pic:spPr>
                    <a:xfrm>
                      <a:off x="0" y="0"/>
                      <a:ext cx="1703432" cy="1307993"/>
                    </a:xfrm>
                    <a:prstGeom prst="rect">
                      <a:avLst/>
                    </a:prstGeom>
                  </pic:spPr>
                </pic:pic>
              </a:graphicData>
            </a:graphic>
          </wp:inline>
        </w:drawing>
      </w:r>
    </w:p>
    <w:p w14:paraId="05B7A641" w14:textId="77777777" w:rsidR="00317623" w:rsidRDefault="00317623" w:rsidP="00317623">
      <w:pPr>
        <w:spacing w:after="0" w:line="240" w:lineRule="auto"/>
        <w:jc w:val="center"/>
        <w:rPr>
          <w:rFonts w:ascii="Calibri" w:eastAsia="Times New Roman" w:hAnsi="Calibri" w:cs="Calibri"/>
          <w:color w:val="000000"/>
          <w:kern w:val="0"/>
          <w:sz w:val="24"/>
          <w:szCs w:val="24"/>
          <w:lang w:eastAsia="pt-BR"/>
          <w14:ligatures w14:val="none"/>
        </w:rPr>
      </w:pPr>
    </w:p>
    <w:p w14:paraId="5D47E5CD" w14:textId="3296E6CA" w:rsidR="00317623" w:rsidRPr="00317623" w:rsidRDefault="00317623" w:rsidP="00317623">
      <w:pPr>
        <w:spacing w:after="0" w:line="240" w:lineRule="auto"/>
        <w:jc w:val="center"/>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GOVERNO DO ESTADO DE RONDÔNIA</w:t>
      </w:r>
      <w:r w:rsidRPr="00317623">
        <w:rPr>
          <w:rFonts w:ascii="Calibri" w:eastAsia="Times New Roman" w:hAnsi="Calibri" w:cs="Calibri"/>
          <w:color w:val="000000"/>
          <w:kern w:val="0"/>
          <w:sz w:val="24"/>
          <w:szCs w:val="24"/>
          <w:lang w:eastAsia="pt-BR"/>
          <w14:ligatures w14:val="none"/>
        </w:rPr>
        <w:br/>
        <w:t>Casa Civil - CASA CIVIL</w:t>
      </w:r>
    </w:p>
    <w:p w14:paraId="2A47DD04" w14:textId="77777777" w:rsidR="00317623" w:rsidRDefault="00317623" w:rsidP="00317623">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DECRETO N° 28.916, DE 16 DE FEVEREIRO DE 2024.</w:t>
      </w:r>
    </w:p>
    <w:p w14:paraId="2D45F7F2" w14:textId="77777777" w:rsidR="00F87D88" w:rsidRPr="00317623" w:rsidRDefault="00F87D88" w:rsidP="00317623">
      <w:pPr>
        <w:spacing w:before="120" w:after="120" w:line="240" w:lineRule="auto"/>
        <w:ind w:left="120" w:right="120"/>
        <w:jc w:val="center"/>
        <w:rPr>
          <w:rFonts w:ascii="Calibri" w:eastAsia="Times New Roman" w:hAnsi="Calibri" w:cs="Calibri"/>
          <w:color w:val="000000"/>
          <w:kern w:val="0"/>
          <w:sz w:val="24"/>
          <w:szCs w:val="24"/>
          <w:lang w:eastAsia="pt-BR"/>
          <w14:ligatures w14:val="none"/>
        </w:rPr>
      </w:pPr>
    </w:p>
    <w:p w14:paraId="360FAC42" w14:textId="2600EA32" w:rsidR="00317623" w:rsidRDefault="00317623" w:rsidP="00317623">
      <w:pPr>
        <w:spacing w:after="0" w:line="240" w:lineRule="auto"/>
        <w:ind w:left="2884"/>
        <w:jc w:val="both"/>
        <w:rPr>
          <w:rFonts w:ascii="Calibri" w:hAnsi="Calibri" w:cs="Calibri"/>
          <w:color w:val="000000"/>
          <w:sz w:val="24"/>
          <w:szCs w:val="24"/>
        </w:rPr>
      </w:pPr>
      <w:r w:rsidRPr="00317623">
        <w:rPr>
          <w:rFonts w:ascii="Calibri" w:hAnsi="Calibri" w:cs="Calibri"/>
          <w:color w:val="000000"/>
          <w:sz w:val="24"/>
          <w:szCs w:val="24"/>
        </w:rPr>
        <w:t>Altera e acresce dispositivos ao Regulamento do Imposto sobre Operações Relativas à Circulação de Mercadorias e sobre Prestações de Serviços de Transporte Interestadual e Intermunicipal e de Comunicação - RICMS/RO, aprovado pelo Decreto n° 22.721, de 5 de abril de 2018.</w:t>
      </w:r>
    </w:p>
    <w:p w14:paraId="3E12C9E7" w14:textId="77777777" w:rsidR="00F87D88" w:rsidRPr="00317623" w:rsidRDefault="00F87D88" w:rsidP="00317623">
      <w:pPr>
        <w:spacing w:after="0" w:line="240" w:lineRule="auto"/>
        <w:ind w:left="2884"/>
        <w:jc w:val="both"/>
        <w:rPr>
          <w:rFonts w:ascii="Calibri" w:eastAsia="Times New Roman" w:hAnsi="Calibri" w:cs="Calibri"/>
          <w:color w:val="000000"/>
          <w:kern w:val="0"/>
          <w:sz w:val="24"/>
          <w:szCs w:val="24"/>
          <w:lang w:eastAsia="pt-BR"/>
          <w14:ligatures w14:val="none"/>
        </w:rPr>
      </w:pPr>
    </w:p>
    <w:p w14:paraId="0C66D730" w14:textId="7171CE99"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605A01B6"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O GOVERNADOR DO ESTADO DE RONDÔNIA, no uso das atribuições que lhe confere o inciso V do artigo 65 da Constituição do Estado,</w:t>
      </w:r>
    </w:p>
    <w:p w14:paraId="78008293"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469E2AFA"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u w:val="single"/>
          <w:lang w:eastAsia="pt-BR"/>
          <w14:ligatures w14:val="none"/>
        </w:rPr>
        <w:t>D</w:t>
      </w:r>
      <w:r w:rsidRPr="00317623">
        <w:rPr>
          <w:rFonts w:ascii="Calibri" w:eastAsia="Times New Roman" w:hAnsi="Calibri" w:cs="Calibri"/>
          <w:color w:val="000000"/>
          <w:kern w:val="0"/>
          <w:sz w:val="24"/>
          <w:szCs w:val="24"/>
          <w:lang w:eastAsia="pt-BR"/>
          <w14:ligatures w14:val="none"/>
        </w:rPr>
        <w:t> </w:t>
      </w:r>
      <w:r w:rsidRPr="00317623">
        <w:rPr>
          <w:rFonts w:ascii="Calibri" w:eastAsia="Times New Roman" w:hAnsi="Calibri" w:cs="Calibri"/>
          <w:color w:val="000000"/>
          <w:kern w:val="0"/>
          <w:sz w:val="24"/>
          <w:szCs w:val="24"/>
          <w:u w:val="single"/>
          <w:lang w:eastAsia="pt-BR"/>
          <w14:ligatures w14:val="none"/>
        </w:rPr>
        <w:t>E</w:t>
      </w:r>
      <w:r w:rsidRPr="00317623">
        <w:rPr>
          <w:rFonts w:ascii="Calibri" w:eastAsia="Times New Roman" w:hAnsi="Calibri" w:cs="Calibri"/>
          <w:color w:val="000000"/>
          <w:kern w:val="0"/>
          <w:sz w:val="24"/>
          <w:szCs w:val="24"/>
          <w:lang w:eastAsia="pt-BR"/>
          <w14:ligatures w14:val="none"/>
        </w:rPr>
        <w:t> </w:t>
      </w:r>
      <w:r w:rsidRPr="00317623">
        <w:rPr>
          <w:rFonts w:ascii="Calibri" w:eastAsia="Times New Roman" w:hAnsi="Calibri" w:cs="Calibri"/>
          <w:color w:val="000000"/>
          <w:kern w:val="0"/>
          <w:sz w:val="24"/>
          <w:szCs w:val="24"/>
          <w:u w:val="single"/>
          <w:lang w:eastAsia="pt-BR"/>
          <w14:ligatures w14:val="none"/>
        </w:rPr>
        <w:t>C</w:t>
      </w:r>
      <w:r w:rsidRPr="00317623">
        <w:rPr>
          <w:rFonts w:ascii="Calibri" w:eastAsia="Times New Roman" w:hAnsi="Calibri" w:cs="Calibri"/>
          <w:color w:val="000000"/>
          <w:kern w:val="0"/>
          <w:sz w:val="24"/>
          <w:szCs w:val="24"/>
          <w:lang w:eastAsia="pt-BR"/>
          <w14:ligatures w14:val="none"/>
        </w:rPr>
        <w:t> </w:t>
      </w:r>
      <w:r w:rsidRPr="00317623">
        <w:rPr>
          <w:rFonts w:ascii="Calibri" w:eastAsia="Times New Roman" w:hAnsi="Calibri" w:cs="Calibri"/>
          <w:color w:val="000000"/>
          <w:kern w:val="0"/>
          <w:sz w:val="24"/>
          <w:szCs w:val="24"/>
          <w:u w:val="single"/>
          <w:lang w:eastAsia="pt-BR"/>
          <w14:ligatures w14:val="none"/>
        </w:rPr>
        <w:t>R</w:t>
      </w:r>
      <w:r w:rsidRPr="00317623">
        <w:rPr>
          <w:rFonts w:ascii="Calibri" w:eastAsia="Times New Roman" w:hAnsi="Calibri" w:cs="Calibri"/>
          <w:color w:val="000000"/>
          <w:kern w:val="0"/>
          <w:sz w:val="24"/>
          <w:szCs w:val="24"/>
          <w:lang w:eastAsia="pt-BR"/>
          <w14:ligatures w14:val="none"/>
        </w:rPr>
        <w:t> </w:t>
      </w:r>
      <w:r w:rsidRPr="00317623">
        <w:rPr>
          <w:rFonts w:ascii="Calibri" w:eastAsia="Times New Roman" w:hAnsi="Calibri" w:cs="Calibri"/>
          <w:color w:val="000000"/>
          <w:kern w:val="0"/>
          <w:sz w:val="24"/>
          <w:szCs w:val="24"/>
          <w:u w:val="single"/>
          <w:lang w:eastAsia="pt-BR"/>
          <w14:ligatures w14:val="none"/>
        </w:rPr>
        <w:t>E</w:t>
      </w:r>
      <w:r w:rsidRPr="00317623">
        <w:rPr>
          <w:rFonts w:ascii="Calibri" w:eastAsia="Times New Roman" w:hAnsi="Calibri" w:cs="Calibri"/>
          <w:color w:val="000000"/>
          <w:kern w:val="0"/>
          <w:sz w:val="24"/>
          <w:szCs w:val="24"/>
          <w:lang w:eastAsia="pt-BR"/>
          <w14:ligatures w14:val="none"/>
        </w:rPr>
        <w:t> </w:t>
      </w:r>
      <w:r w:rsidRPr="00317623">
        <w:rPr>
          <w:rFonts w:ascii="Calibri" w:eastAsia="Times New Roman" w:hAnsi="Calibri" w:cs="Calibri"/>
          <w:color w:val="000000"/>
          <w:kern w:val="0"/>
          <w:sz w:val="24"/>
          <w:szCs w:val="24"/>
          <w:u w:val="single"/>
          <w:lang w:eastAsia="pt-BR"/>
          <w14:ligatures w14:val="none"/>
        </w:rPr>
        <w:t>T</w:t>
      </w:r>
      <w:r w:rsidRPr="00317623">
        <w:rPr>
          <w:rFonts w:ascii="Calibri" w:eastAsia="Times New Roman" w:hAnsi="Calibri" w:cs="Calibri"/>
          <w:color w:val="000000"/>
          <w:kern w:val="0"/>
          <w:sz w:val="24"/>
          <w:szCs w:val="24"/>
          <w:lang w:eastAsia="pt-BR"/>
          <w14:ligatures w14:val="none"/>
        </w:rPr>
        <w:t> </w:t>
      </w:r>
      <w:r w:rsidRPr="00317623">
        <w:rPr>
          <w:rFonts w:ascii="Calibri" w:eastAsia="Times New Roman" w:hAnsi="Calibri" w:cs="Calibri"/>
          <w:color w:val="000000"/>
          <w:kern w:val="0"/>
          <w:sz w:val="24"/>
          <w:szCs w:val="24"/>
          <w:u w:val="single"/>
          <w:lang w:eastAsia="pt-BR"/>
          <w14:ligatures w14:val="none"/>
        </w:rPr>
        <w:t>A</w:t>
      </w:r>
      <w:r w:rsidRPr="00317623">
        <w:rPr>
          <w:rFonts w:ascii="Calibri" w:eastAsia="Times New Roman" w:hAnsi="Calibri" w:cs="Calibri"/>
          <w:color w:val="000000"/>
          <w:kern w:val="0"/>
          <w:sz w:val="24"/>
          <w:szCs w:val="24"/>
          <w:lang w:eastAsia="pt-BR"/>
          <w14:ligatures w14:val="none"/>
        </w:rPr>
        <w:t>:</w:t>
      </w:r>
    </w:p>
    <w:p w14:paraId="3CE3901D"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011C7378"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Art. 1°  O </w:t>
      </w:r>
      <w:r w:rsidRPr="00317623">
        <w:rPr>
          <w:rFonts w:ascii="Calibri" w:eastAsia="Times New Roman" w:hAnsi="Calibri" w:cs="Calibri"/>
          <w:b/>
          <w:bCs/>
          <w:color w:val="000000"/>
          <w:kern w:val="0"/>
          <w:sz w:val="24"/>
          <w:szCs w:val="24"/>
          <w:lang w:eastAsia="pt-BR"/>
          <w14:ligatures w14:val="none"/>
        </w:rPr>
        <w:t>caput</w:t>
      </w:r>
      <w:r w:rsidRPr="00317623">
        <w:rPr>
          <w:rFonts w:ascii="Calibri" w:eastAsia="Times New Roman" w:hAnsi="Calibri" w:cs="Calibri"/>
          <w:color w:val="000000"/>
          <w:kern w:val="0"/>
          <w:sz w:val="24"/>
          <w:szCs w:val="24"/>
          <w:lang w:eastAsia="pt-BR"/>
          <w14:ligatures w14:val="none"/>
        </w:rPr>
        <w:t> do art. 368-A da Seção III-A do Capítulo I da Parte 5 do Anexo X do Regulamento do Imposto sobre Operações Relativas à Circulação de Mercadorias e sobre Prestações de Serviços de Transporte Interestadual e Intermunicipal e de Comunicação - RICMS/RO, aprovado pelo Decreto n° 22.721, de 5 de abril de 2018, passa a vigorar com a seguinte alteração:</w:t>
      </w:r>
    </w:p>
    <w:p w14:paraId="3B866849"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2E5B7A02"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“Art. 368-A. O contribuinte substituído, na condição de posto revendedor varejista - PRV, distribuidor de combustíveis ou transportador-revendedor-retalhista - TRR, com relação às operações que realizarem com destino a consumidor final, para fins de ajuste do montante do imposto retido por substituição tributária decorrente da diferença entre o preço praticado na operação a consumidor final e a base de cálculo utilizada para o cálculo do débito de responsabilidade por substituição tributária, deverá apurar mensalmente, considerando todas as operações com gasolina, óleo diesel e etanol hidratado combustível recebidas pelo estabelecimento no período que tenham sido submetidas ao regime de substituição tributária:</w:t>
      </w:r>
    </w:p>
    <w:p w14:paraId="06647A98"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57BFC0DB"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(NR)</w:t>
      </w:r>
    </w:p>
    <w:p w14:paraId="72566EC4"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78E453E7"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Art. 2°  Acresce os dispositivos adiante enumerados à Seção III-A do Capítulo I da Parte 5 do Anexo X do RICMS/RO, aprovado pelo Decreto n° 22.721, de 2018, com as seguintes redações:</w:t>
      </w:r>
    </w:p>
    <w:p w14:paraId="6A73CB1D"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7743FDA9"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I - o § 2° ao art. 368-A, renumerando o parágrafo único para § 1°:</w:t>
      </w:r>
    </w:p>
    <w:p w14:paraId="06672C57"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3F1CC778"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“Art. 368-A. ............................................................................................................................</w:t>
      </w:r>
    </w:p>
    <w:p w14:paraId="4E1D1378"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4C80CA5E"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1° .........................................................................................................................................</w:t>
      </w:r>
    </w:p>
    <w:p w14:paraId="03E067F2"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lastRenderedPageBreak/>
        <w:t> </w:t>
      </w:r>
    </w:p>
    <w:p w14:paraId="530062B0"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2° O disposto nesta Seção não se aplica às operações com combustíveis tributados pelo regime de tributação monofásica a que se refere o Capítulo VI da Parte 5 deste Anexo.” (NR)</w:t>
      </w:r>
    </w:p>
    <w:p w14:paraId="50D6E77B"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5F7B48F3"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II - os §§ 6°, 7° e 8° ao art. 368-B: </w:t>
      </w:r>
    </w:p>
    <w:p w14:paraId="17AA885E"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043E3BD2"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“Art. 368-B. ........................................................................................................................</w:t>
      </w:r>
    </w:p>
    <w:p w14:paraId="62898735"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5114E4A1"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w:t>
      </w:r>
    </w:p>
    <w:p w14:paraId="2993CF4E"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26849C82"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6°  O estabelecimento distribuidor de combustíveis que comercializar gasolina “C”, resultante da mistura de gasolina “A” com Etanol Anidro Combustível - EAC, ou óleo diesel “B”, resultante da mistura de óleo diesel “A” com biodiesel “B100”, cuja mistura seja realizada pelo próprio estabelecimento, deverá considerar como base de cálculo presumida do ICMS ST, para a gasolina “C” ou o óleo diesel “B”, o valor médio ponderado da base de cálculo do ICMS ST apurado com fundamento nos documentos fiscais que acobertaram as últimas entradas de gasolina “A” ou óleo diesel “A” até a quantidade destas mercadorias existente em estoque, na data da respectiva operação com gasolina “C” ou óleo diesel “B” destinada a consumidor final, devendo efetuar os seguintes ajustes: </w:t>
      </w:r>
    </w:p>
    <w:p w14:paraId="4874F168"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495DF5E0"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I - se a gasolina “A” ou o óleo diesel “A” tiver sido adquirido diretamente do substituto tributário, refinaria de petróleo ou suas bases, central de matéria-prima petroquímica, importador ou formulador de combustíveis, em operação faturada a 20°C (vinte graus Celsius): BC ICMS ST Presumida por litro do Volume Presumido de gasolina “C” ou óleo diesel “B” = BC/ ST destacada na NF-e - relativa à aquisição da gasolina “A” ou do óleo diesel “A” / [Volume de gasolina “A” ou óleo diesel “A” faturado a 20°C / FCV / (1 - IM)], em que:</w:t>
      </w:r>
    </w:p>
    <w:p w14:paraId="34AE7D13"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25010E8E"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 FCV é o fator de correção do volume, divulgado em ato COTEPE, que corresponde à correção dos volumes, utilizados para a composição da base de cálculo do ICMS, dos combustíveis líquidos derivados de petróleo faturados a 20ºC pelo produtor nacional de combustíveis ou por suas bases, pelos importadores ou pelos formuladores, para a comercialização à temperatura ambiente;</w:t>
      </w:r>
    </w:p>
    <w:p w14:paraId="34983075"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4D87CE4C"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b) IM é o índice de mistura do EAC na gasolina “C”, ou do biodiesel “B100” no óleo diesel “B”;</w:t>
      </w:r>
    </w:p>
    <w:p w14:paraId="6E02129F"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609155DF"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II - se a gasolina “A” ou óleo diesel “A” tiver sido adquirido de contribuinte substituído, distribuidor de combustíveis, em operação faturada à temperatura ambiente: BC ICMS ST Presumida por litro do Volume Presumido de gasolina “C” ou óleo diesel “B” = BC/ ST informada no campo relativo ao Código de Situação Tributária - CST - 060 da NF-e referente à aquisição da gasolina “A” ou do óleo diesel “A” / [Volume de gasolina “A” ou óleo diesel “A” faturado a temperatura ambiente / (1 - IM)], em que IM é o índice de que trata a alínea “b” do inciso I deste parágrafo;</w:t>
      </w:r>
    </w:p>
    <w:p w14:paraId="42982C72"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62EDE27C"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III - se a gasolina “A” ou óleo diesel “A” tiver sido adquirido, concomitantemente, do substituto tributário e de contribuinte substituído: BC ICMS ST Presumida por litro do Volume Presumido de gasolina “C” ou óleo diesel “B” = {[BC/ST destacada na NFe relativa à aquisição da gasolina “A” ou do óleo diesel “A” + BC/ST informada no campo relativo ao CST 060 da NFe referente à aquisição da gasolina “A” ou do óleo diesel “A” ] / [Volume de gasolina “A” ou óleo diesel “A” faturado a 20°C / FCV / (1 - IM)] + [Volume de gasolina “A” ou óleo diesel “A” faturado a temperatura ambiente / (1 - IM)]}, em que FCV e IM são os índices de que tratam as alíneas “a” e “b” do inciso I deste parágrafo.</w:t>
      </w:r>
    </w:p>
    <w:p w14:paraId="5B169D6A"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0DA1DAB4"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7°  O valor da base de cálculo do ICMS ST presumida por litro do volume presumido de gasolina “C” ou óleo diesel “B” apurado nos termos do § 6º será multiplicado pela quantidade diária de litros comercializados nas operações destinadas exclusivamente para uso ou consumo do estabelecimento adquirente.</w:t>
      </w:r>
    </w:p>
    <w:p w14:paraId="154FF426"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37561798"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lastRenderedPageBreak/>
        <w:t>§ 8°  O estabelecimento distribuidor de combustíveis que comercializar gasolina “C”, resultante da mistura de gasolina “A” com EAC, ou óleo diesel “B”, resultante da mistura de óleo diesel “A” com biodiesel “B100”, cuja mistura seja realizada pelo próprio estabelecimento, deverá considerar como base de cálculo presumida do ICMS ST para a gasolina “C” ou o óleo diesel “B”, o valor médio ponderado da base de cálculo do ICMS ST apurada com fundamento nos documentos fiscais que acobertaram as últimas entradas de gasolina “A” ou óleo diesel “A” até a quantidade destas mercadorias existente em estoque, na data da respectiva operação com gasolina “C” ou óleo diesel “B” destinada a consumidor final, devendo efetuar os ajustes previstos nos §§ 6° e 7° deste artigo.” (NR)</w:t>
      </w:r>
    </w:p>
    <w:p w14:paraId="7CD3E820"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687CFF85"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III - o parágrafo único ao art. 368-D:</w:t>
      </w:r>
    </w:p>
    <w:p w14:paraId="1E6380BD"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6A4E89F4"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“Art. 368-D. ..................................................................................................................</w:t>
      </w:r>
    </w:p>
    <w:p w14:paraId="620F57CA"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01A7CDC8"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Parágrafo único. Fica vedado o ressarcimento de crédito de imposto passível de apropriação pelo adquirente.” (NR)</w:t>
      </w:r>
    </w:p>
    <w:p w14:paraId="1D8E2CA1"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7252CE17"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Art. 3°  Este Decreto entra em vigor na data de sua publicação, observado o disposto nos §§ 1° e 2° do art. 368-E da Seção III-A do Capítulo I da Parte 5 do Anexo X do RICMS/RO, aprovado pelo Decreto n° 22.721, de 2018.</w:t>
      </w:r>
    </w:p>
    <w:p w14:paraId="6DB93722"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758515CC"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Palácio do Governo do Estado de Rondônia, em 16 de fevereiro de 2024, 136° da República.</w:t>
      </w:r>
    </w:p>
    <w:p w14:paraId="0DA23C75"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23F60609" w14:textId="77777777" w:rsidR="00317623" w:rsidRPr="00317623" w:rsidRDefault="00317623" w:rsidP="00317623">
      <w:pPr>
        <w:spacing w:after="0" w:line="240" w:lineRule="auto"/>
        <w:ind w:left="120" w:firstLine="1418"/>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 </w:t>
      </w:r>
    </w:p>
    <w:p w14:paraId="30523D38" w14:textId="77777777" w:rsidR="00317623" w:rsidRPr="00317623" w:rsidRDefault="00317623" w:rsidP="00317623">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b/>
          <w:bCs/>
          <w:color w:val="000000"/>
          <w:kern w:val="0"/>
          <w:sz w:val="24"/>
          <w:szCs w:val="24"/>
          <w:lang w:eastAsia="pt-BR"/>
          <w14:ligatures w14:val="none"/>
        </w:rPr>
        <w:t>MARCOS JOSÉ ROCHA DOS SANTOS</w:t>
      </w:r>
    </w:p>
    <w:p w14:paraId="5E035ECA" w14:textId="77777777" w:rsidR="00317623" w:rsidRPr="00317623" w:rsidRDefault="00317623" w:rsidP="00317623">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Governador</w:t>
      </w:r>
    </w:p>
    <w:p w14:paraId="4258563B" w14:textId="6300DC10" w:rsidR="00317623" w:rsidRPr="00317623" w:rsidRDefault="00317623" w:rsidP="00317623">
      <w:pPr>
        <w:spacing w:after="0" w:line="240" w:lineRule="auto"/>
        <w:ind w:left="60" w:right="60"/>
        <w:jc w:val="center"/>
        <w:rPr>
          <w:rFonts w:ascii="Calibri" w:eastAsia="Times New Roman" w:hAnsi="Calibri" w:cs="Calibri"/>
          <w:color w:val="000000"/>
          <w:kern w:val="0"/>
          <w:sz w:val="24"/>
          <w:szCs w:val="24"/>
          <w:lang w:eastAsia="pt-BR"/>
          <w14:ligatures w14:val="none"/>
        </w:rPr>
      </w:pPr>
    </w:p>
    <w:p w14:paraId="51F0F005" w14:textId="33074162" w:rsidR="00317623" w:rsidRPr="00317623" w:rsidRDefault="00317623" w:rsidP="00317623">
      <w:pPr>
        <w:spacing w:after="0" w:line="240" w:lineRule="auto"/>
        <w:ind w:left="60" w:right="60"/>
        <w:jc w:val="center"/>
        <w:rPr>
          <w:rFonts w:ascii="Calibri" w:eastAsia="Times New Roman" w:hAnsi="Calibri" w:cs="Calibri"/>
          <w:color w:val="000000"/>
          <w:kern w:val="0"/>
          <w:sz w:val="24"/>
          <w:szCs w:val="24"/>
          <w:lang w:eastAsia="pt-BR"/>
          <w14:ligatures w14:val="none"/>
        </w:rPr>
      </w:pPr>
    </w:p>
    <w:p w14:paraId="2334E0CF" w14:textId="77777777" w:rsidR="00317623" w:rsidRPr="00317623" w:rsidRDefault="00317623" w:rsidP="00317623">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b/>
          <w:bCs/>
          <w:color w:val="000000"/>
          <w:kern w:val="0"/>
          <w:sz w:val="24"/>
          <w:szCs w:val="24"/>
          <w:lang w:eastAsia="pt-BR"/>
          <w14:ligatures w14:val="none"/>
        </w:rPr>
        <w:t>LUÍS FERNANDO PEREIRA DA SILVA</w:t>
      </w:r>
    </w:p>
    <w:p w14:paraId="3EA13BBE" w14:textId="77777777" w:rsidR="00317623" w:rsidRPr="00317623" w:rsidRDefault="00317623" w:rsidP="00317623">
      <w:pPr>
        <w:spacing w:after="0" w:line="240" w:lineRule="auto"/>
        <w:ind w:left="60" w:right="60"/>
        <w:jc w:val="center"/>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t>Secretário de Estado de Finanças</w:t>
      </w:r>
    </w:p>
    <w:p w14:paraId="4A7DB9FF" w14:textId="77777777" w:rsidR="00317623" w:rsidRPr="00317623" w:rsidRDefault="00317623" w:rsidP="00317623">
      <w:pPr>
        <w:spacing w:after="60" w:line="240" w:lineRule="auto"/>
        <w:jc w:val="both"/>
        <w:rPr>
          <w:rFonts w:ascii="Calibri" w:eastAsia="Times New Roman" w:hAnsi="Calibri" w:cs="Calibri"/>
          <w:color w:val="000000"/>
          <w:kern w:val="0"/>
          <w:sz w:val="24"/>
          <w:szCs w:val="24"/>
          <w:lang w:eastAsia="pt-BR"/>
          <w14:ligatures w14:val="none"/>
        </w:rPr>
      </w:pPr>
      <w:r w:rsidRPr="00317623">
        <w:rPr>
          <w:rFonts w:ascii="Calibri" w:eastAsia="Times New Roman" w:hAnsi="Calibri" w:cs="Calibri"/>
          <w:color w:val="000000"/>
          <w:kern w:val="0"/>
          <w:sz w:val="24"/>
          <w:szCs w:val="24"/>
          <w:lang w:eastAsia="pt-BR"/>
          <w14:ligatures w14:val="none"/>
        </w:rPr>
        <w:pict w14:anchorId="08DDD479">
          <v:rect id="_x0000_i102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317623" w:rsidRPr="00317623" w14:paraId="54F0C7A0" w14:textId="77777777" w:rsidTr="00317623">
        <w:trPr>
          <w:tblCellSpacing w:w="15" w:type="dxa"/>
        </w:trPr>
        <w:tc>
          <w:tcPr>
            <w:tcW w:w="0" w:type="auto"/>
            <w:vAlign w:val="center"/>
            <w:hideMark/>
          </w:tcPr>
          <w:p w14:paraId="54553A89" w14:textId="43CC681F" w:rsidR="00317623" w:rsidRPr="00317623" w:rsidRDefault="00317623" w:rsidP="00317623">
            <w:pPr>
              <w:spacing w:after="0" w:line="240" w:lineRule="auto"/>
              <w:jc w:val="both"/>
              <w:rPr>
                <w:rFonts w:ascii="Calibri" w:eastAsia="Times New Roman" w:hAnsi="Calibri" w:cs="Calibri"/>
                <w:kern w:val="0"/>
                <w:sz w:val="20"/>
                <w:szCs w:val="20"/>
                <w:lang w:eastAsia="pt-BR"/>
                <w14:ligatures w14:val="none"/>
              </w:rPr>
            </w:pPr>
            <w:r w:rsidRPr="00317623">
              <w:rPr>
                <w:rFonts w:ascii="Calibri" w:eastAsia="Times New Roman" w:hAnsi="Calibri" w:cs="Calibri"/>
                <w:noProof/>
                <w:kern w:val="0"/>
                <w:sz w:val="20"/>
                <w:szCs w:val="20"/>
                <w:lang w:eastAsia="pt-BR"/>
                <w14:ligatures w14:val="none"/>
              </w:rPr>
              <w:drawing>
                <wp:inline distT="0" distB="0" distL="0" distR="0" wp14:anchorId="412CE1FA" wp14:editId="6C8EF7FC">
                  <wp:extent cx="848360" cy="570865"/>
                  <wp:effectExtent l="0" t="0" r="8890" b="635"/>
                  <wp:docPr id="1453969891" name="Imagem 3"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tip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8360" cy="570865"/>
                          </a:xfrm>
                          <a:prstGeom prst="rect">
                            <a:avLst/>
                          </a:prstGeom>
                          <a:noFill/>
                          <a:ln>
                            <a:noFill/>
                          </a:ln>
                        </pic:spPr>
                      </pic:pic>
                    </a:graphicData>
                  </a:graphic>
                </wp:inline>
              </w:drawing>
            </w:r>
          </w:p>
        </w:tc>
        <w:tc>
          <w:tcPr>
            <w:tcW w:w="0" w:type="auto"/>
            <w:vAlign w:val="center"/>
            <w:hideMark/>
          </w:tcPr>
          <w:p w14:paraId="64B37DDF" w14:textId="77777777" w:rsidR="00317623" w:rsidRPr="00317623" w:rsidRDefault="00317623" w:rsidP="00317623">
            <w:pPr>
              <w:spacing w:after="0" w:line="240" w:lineRule="auto"/>
              <w:jc w:val="both"/>
              <w:rPr>
                <w:rFonts w:ascii="Calibri" w:eastAsia="Times New Roman" w:hAnsi="Calibri" w:cs="Calibri"/>
                <w:kern w:val="0"/>
                <w:sz w:val="20"/>
                <w:szCs w:val="20"/>
                <w:lang w:eastAsia="pt-BR"/>
                <w14:ligatures w14:val="none"/>
              </w:rPr>
            </w:pPr>
            <w:r w:rsidRPr="00317623">
              <w:rPr>
                <w:rFonts w:ascii="Calibri" w:eastAsia="Times New Roman" w:hAnsi="Calibri" w:cs="Calibri"/>
                <w:kern w:val="0"/>
                <w:sz w:val="20"/>
                <w:szCs w:val="20"/>
                <w:lang w:eastAsia="pt-BR"/>
                <w14:ligatures w14:val="none"/>
              </w:rPr>
              <w:t>Documento assinado eletronicamente por </w:t>
            </w:r>
            <w:r w:rsidRPr="00317623">
              <w:rPr>
                <w:rFonts w:ascii="Calibri" w:eastAsia="Times New Roman" w:hAnsi="Calibri" w:cs="Calibri"/>
                <w:b/>
                <w:bCs/>
                <w:kern w:val="0"/>
                <w:sz w:val="20"/>
                <w:szCs w:val="20"/>
                <w:lang w:eastAsia="pt-BR"/>
                <w14:ligatures w14:val="none"/>
              </w:rPr>
              <w:t>Luis Fernando Pereira da Silva</w:t>
            </w:r>
            <w:r w:rsidRPr="00317623">
              <w:rPr>
                <w:rFonts w:ascii="Calibri" w:eastAsia="Times New Roman" w:hAnsi="Calibri" w:cs="Calibri"/>
                <w:kern w:val="0"/>
                <w:sz w:val="20"/>
                <w:szCs w:val="20"/>
                <w:lang w:eastAsia="pt-BR"/>
                <w14:ligatures w14:val="none"/>
              </w:rPr>
              <w:t>, </w:t>
            </w:r>
            <w:r w:rsidRPr="00317623">
              <w:rPr>
                <w:rFonts w:ascii="Calibri" w:eastAsia="Times New Roman" w:hAnsi="Calibri" w:cs="Calibri"/>
                <w:b/>
                <w:bCs/>
                <w:kern w:val="0"/>
                <w:sz w:val="20"/>
                <w:szCs w:val="20"/>
                <w:lang w:eastAsia="pt-BR"/>
                <w14:ligatures w14:val="none"/>
              </w:rPr>
              <w:t>Secretário(a)</w:t>
            </w:r>
            <w:r w:rsidRPr="00317623">
              <w:rPr>
                <w:rFonts w:ascii="Calibri" w:eastAsia="Times New Roman" w:hAnsi="Calibri" w:cs="Calibri"/>
                <w:kern w:val="0"/>
                <w:sz w:val="20"/>
                <w:szCs w:val="20"/>
                <w:lang w:eastAsia="pt-BR"/>
                <w14:ligatures w14:val="none"/>
              </w:rPr>
              <w:t>, em 16/02/2024, às 11:28, conforme horário oficial de Brasília, com fundamento no artigo 18 caput e seus §§ 1º e 2º, do </w:t>
            </w:r>
            <w:hyperlink r:id="rId6" w:tgtFrame="_blank" w:tooltip="Acesse o Decreto" w:history="1">
              <w:r w:rsidRPr="00317623">
                <w:rPr>
                  <w:rFonts w:ascii="Calibri" w:eastAsia="Times New Roman" w:hAnsi="Calibri" w:cs="Calibri"/>
                  <w:color w:val="0000FF"/>
                  <w:kern w:val="0"/>
                  <w:sz w:val="20"/>
                  <w:szCs w:val="20"/>
                  <w:u w:val="single"/>
                  <w:lang w:eastAsia="pt-BR"/>
                  <w14:ligatures w14:val="none"/>
                </w:rPr>
                <w:t>Decreto nº 21.794, de 5 Abril de 2017.</w:t>
              </w:r>
            </w:hyperlink>
          </w:p>
        </w:tc>
      </w:tr>
    </w:tbl>
    <w:p w14:paraId="34272961" w14:textId="77777777" w:rsidR="00317623" w:rsidRPr="00317623" w:rsidRDefault="00317623" w:rsidP="00317623">
      <w:pPr>
        <w:spacing w:after="60" w:line="240" w:lineRule="auto"/>
        <w:jc w:val="both"/>
        <w:rPr>
          <w:rFonts w:ascii="Calibri" w:eastAsia="Times New Roman" w:hAnsi="Calibri" w:cs="Calibri"/>
          <w:color w:val="000000"/>
          <w:kern w:val="0"/>
          <w:sz w:val="20"/>
          <w:szCs w:val="20"/>
          <w:lang w:eastAsia="pt-BR"/>
          <w14:ligatures w14:val="none"/>
        </w:rPr>
      </w:pPr>
      <w:r w:rsidRPr="00317623">
        <w:rPr>
          <w:rFonts w:ascii="Calibri" w:eastAsia="Times New Roman" w:hAnsi="Calibri" w:cs="Calibri"/>
          <w:color w:val="000000"/>
          <w:kern w:val="0"/>
          <w:sz w:val="20"/>
          <w:szCs w:val="20"/>
          <w:lang w:eastAsia="pt-BR"/>
          <w14:ligatures w14:val="none"/>
        </w:rPr>
        <w:pict w14:anchorId="71E5FA40">
          <v:rect id="_x0000_i1027"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317623" w:rsidRPr="00317623" w14:paraId="4F265A9C" w14:textId="77777777" w:rsidTr="00317623">
        <w:trPr>
          <w:tblCellSpacing w:w="15" w:type="dxa"/>
        </w:trPr>
        <w:tc>
          <w:tcPr>
            <w:tcW w:w="0" w:type="auto"/>
            <w:vAlign w:val="center"/>
            <w:hideMark/>
          </w:tcPr>
          <w:p w14:paraId="5D6B496D" w14:textId="77361FC7" w:rsidR="00317623" w:rsidRPr="00317623" w:rsidRDefault="00317623" w:rsidP="00317623">
            <w:pPr>
              <w:spacing w:after="0" w:line="240" w:lineRule="auto"/>
              <w:jc w:val="both"/>
              <w:rPr>
                <w:rFonts w:ascii="Calibri" w:eastAsia="Times New Roman" w:hAnsi="Calibri" w:cs="Calibri"/>
                <w:kern w:val="0"/>
                <w:sz w:val="20"/>
                <w:szCs w:val="20"/>
                <w:lang w:eastAsia="pt-BR"/>
                <w14:ligatures w14:val="none"/>
              </w:rPr>
            </w:pPr>
            <w:r w:rsidRPr="00317623">
              <w:rPr>
                <w:rFonts w:ascii="Calibri" w:eastAsia="Times New Roman" w:hAnsi="Calibri" w:cs="Calibri"/>
                <w:noProof/>
                <w:kern w:val="0"/>
                <w:sz w:val="20"/>
                <w:szCs w:val="20"/>
                <w:lang w:eastAsia="pt-BR"/>
                <w14:ligatures w14:val="none"/>
              </w:rPr>
              <w:drawing>
                <wp:inline distT="0" distB="0" distL="0" distR="0" wp14:anchorId="1EBE5F90" wp14:editId="21DEB0EC">
                  <wp:extent cx="848360" cy="570865"/>
                  <wp:effectExtent l="0" t="0" r="8890" b="635"/>
                  <wp:docPr id="576254968" name="Imagem 2"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tip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8360" cy="570865"/>
                          </a:xfrm>
                          <a:prstGeom prst="rect">
                            <a:avLst/>
                          </a:prstGeom>
                          <a:noFill/>
                          <a:ln>
                            <a:noFill/>
                          </a:ln>
                        </pic:spPr>
                      </pic:pic>
                    </a:graphicData>
                  </a:graphic>
                </wp:inline>
              </w:drawing>
            </w:r>
          </w:p>
        </w:tc>
        <w:tc>
          <w:tcPr>
            <w:tcW w:w="0" w:type="auto"/>
            <w:vAlign w:val="center"/>
            <w:hideMark/>
          </w:tcPr>
          <w:p w14:paraId="77ECB69B" w14:textId="77777777" w:rsidR="00317623" w:rsidRPr="00317623" w:rsidRDefault="00317623" w:rsidP="00317623">
            <w:pPr>
              <w:spacing w:after="0" w:line="240" w:lineRule="auto"/>
              <w:jc w:val="both"/>
              <w:rPr>
                <w:rFonts w:ascii="Calibri" w:eastAsia="Times New Roman" w:hAnsi="Calibri" w:cs="Calibri"/>
                <w:kern w:val="0"/>
                <w:sz w:val="20"/>
                <w:szCs w:val="20"/>
                <w:lang w:eastAsia="pt-BR"/>
                <w14:ligatures w14:val="none"/>
              </w:rPr>
            </w:pPr>
            <w:r w:rsidRPr="00317623">
              <w:rPr>
                <w:rFonts w:ascii="Calibri" w:eastAsia="Times New Roman" w:hAnsi="Calibri" w:cs="Calibri"/>
                <w:kern w:val="0"/>
                <w:sz w:val="20"/>
                <w:szCs w:val="20"/>
                <w:lang w:eastAsia="pt-BR"/>
                <w14:ligatures w14:val="none"/>
              </w:rPr>
              <w:t>Documento assinado eletronicamente por </w:t>
            </w:r>
            <w:r w:rsidRPr="00317623">
              <w:rPr>
                <w:rFonts w:ascii="Calibri" w:eastAsia="Times New Roman" w:hAnsi="Calibri" w:cs="Calibri"/>
                <w:b/>
                <w:bCs/>
                <w:kern w:val="0"/>
                <w:sz w:val="20"/>
                <w:szCs w:val="20"/>
                <w:lang w:eastAsia="pt-BR"/>
                <w14:ligatures w14:val="none"/>
              </w:rPr>
              <w:t>Marcos José Rocha dos Santos</w:t>
            </w:r>
            <w:r w:rsidRPr="00317623">
              <w:rPr>
                <w:rFonts w:ascii="Calibri" w:eastAsia="Times New Roman" w:hAnsi="Calibri" w:cs="Calibri"/>
                <w:kern w:val="0"/>
                <w:sz w:val="20"/>
                <w:szCs w:val="20"/>
                <w:lang w:eastAsia="pt-BR"/>
                <w14:ligatures w14:val="none"/>
              </w:rPr>
              <w:t>, </w:t>
            </w:r>
            <w:r w:rsidRPr="00317623">
              <w:rPr>
                <w:rFonts w:ascii="Calibri" w:eastAsia="Times New Roman" w:hAnsi="Calibri" w:cs="Calibri"/>
                <w:b/>
                <w:bCs/>
                <w:kern w:val="0"/>
                <w:sz w:val="20"/>
                <w:szCs w:val="20"/>
                <w:lang w:eastAsia="pt-BR"/>
                <w14:ligatures w14:val="none"/>
              </w:rPr>
              <w:t>Governador</w:t>
            </w:r>
            <w:r w:rsidRPr="00317623">
              <w:rPr>
                <w:rFonts w:ascii="Calibri" w:eastAsia="Times New Roman" w:hAnsi="Calibri" w:cs="Calibri"/>
                <w:kern w:val="0"/>
                <w:sz w:val="20"/>
                <w:szCs w:val="20"/>
                <w:lang w:eastAsia="pt-BR"/>
                <w14:ligatures w14:val="none"/>
              </w:rPr>
              <w:t>, em 16/02/2024, às 21:30, conforme horário oficial de Brasília, com fundamento no artigo 18 caput e seus §§ 1º e 2º, do </w:t>
            </w:r>
            <w:hyperlink r:id="rId7" w:tgtFrame="_blank" w:tooltip="Acesse o Decreto" w:history="1">
              <w:r w:rsidRPr="00317623">
                <w:rPr>
                  <w:rFonts w:ascii="Calibri" w:eastAsia="Times New Roman" w:hAnsi="Calibri" w:cs="Calibri"/>
                  <w:color w:val="0000FF"/>
                  <w:kern w:val="0"/>
                  <w:sz w:val="20"/>
                  <w:szCs w:val="20"/>
                  <w:u w:val="single"/>
                  <w:lang w:eastAsia="pt-BR"/>
                  <w14:ligatures w14:val="none"/>
                </w:rPr>
                <w:t>Decreto nº 21.794, de 5 Abril de 2017.</w:t>
              </w:r>
            </w:hyperlink>
          </w:p>
        </w:tc>
      </w:tr>
    </w:tbl>
    <w:p w14:paraId="0D6EE7B8" w14:textId="77777777" w:rsidR="00317623" w:rsidRPr="00317623" w:rsidRDefault="00317623" w:rsidP="00317623">
      <w:pPr>
        <w:spacing w:after="60" w:line="240" w:lineRule="auto"/>
        <w:jc w:val="both"/>
        <w:rPr>
          <w:rFonts w:ascii="Calibri" w:eastAsia="Times New Roman" w:hAnsi="Calibri" w:cs="Calibri"/>
          <w:color w:val="000000"/>
          <w:kern w:val="0"/>
          <w:sz w:val="20"/>
          <w:szCs w:val="20"/>
          <w:lang w:eastAsia="pt-BR"/>
          <w14:ligatures w14:val="none"/>
        </w:rPr>
      </w:pPr>
      <w:r w:rsidRPr="00317623">
        <w:rPr>
          <w:rFonts w:ascii="Calibri" w:eastAsia="Times New Roman" w:hAnsi="Calibri" w:cs="Calibri"/>
          <w:color w:val="000000"/>
          <w:kern w:val="0"/>
          <w:sz w:val="20"/>
          <w:szCs w:val="20"/>
          <w:lang w:eastAsia="pt-BR"/>
          <w14:ligatures w14:val="none"/>
        </w:rPr>
        <w:pict w14:anchorId="0864E9F6">
          <v:rect id="_x0000_i1029"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317623" w:rsidRPr="00317623" w14:paraId="03032543" w14:textId="77777777" w:rsidTr="00317623">
        <w:trPr>
          <w:tblCellSpacing w:w="15" w:type="dxa"/>
        </w:trPr>
        <w:tc>
          <w:tcPr>
            <w:tcW w:w="0" w:type="auto"/>
            <w:vAlign w:val="center"/>
            <w:hideMark/>
          </w:tcPr>
          <w:p w14:paraId="72BC3789" w14:textId="48E4DC41" w:rsidR="00317623" w:rsidRPr="00317623" w:rsidRDefault="00317623" w:rsidP="00317623">
            <w:pPr>
              <w:spacing w:after="0" w:line="240" w:lineRule="auto"/>
              <w:jc w:val="both"/>
              <w:rPr>
                <w:rFonts w:ascii="Calibri" w:eastAsia="Times New Roman" w:hAnsi="Calibri" w:cs="Calibri"/>
                <w:kern w:val="0"/>
                <w:sz w:val="20"/>
                <w:szCs w:val="20"/>
                <w:lang w:eastAsia="pt-BR"/>
                <w14:ligatures w14:val="none"/>
              </w:rPr>
            </w:pPr>
            <w:r w:rsidRPr="00317623">
              <w:rPr>
                <w:rFonts w:ascii="Calibri" w:eastAsia="Times New Roman" w:hAnsi="Calibri" w:cs="Calibri"/>
                <w:noProof/>
                <w:kern w:val="0"/>
                <w:sz w:val="20"/>
                <w:szCs w:val="20"/>
                <w:lang w:eastAsia="pt-BR"/>
                <w14:ligatures w14:val="none"/>
              </w:rPr>
              <w:drawing>
                <wp:inline distT="0" distB="0" distL="0" distR="0" wp14:anchorId="22704342" wp14:editId="6BF248EF">
                  <wp:extent cx="819150" cy="819150"/>
                  <wp:effectExtent l="0" t="0" r="0" b="0"/>
                  <wp:docPr id="1689044913" name="Imagem 1" descr="QRCode Assina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QRCode Assinatur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39AB7DBA" w14:textId="77777777" w:rsidR="00317623" w:rsidRPr="00317623" w:rsidRDefault="00317623" w:rsidP="00317623">
            <w:pPr>
              <w:spacing w:after="0" w:line="240" w:lineRule="auto"/>
              <w:jc w:val="both"/>
              <w:rPr>
                <w:rFonts w:ascii="Calibri" w:eastAsia="Times New Roman" w:hAnsi="Calibri" w:cs="Calibri"/>
                <w:kern w:val="0"/>
                <w:sz w:val="20"/>
                <w:szCs w:val="20"/>
                <w:lang w:eastAsia="pt-BR"/>
                <w14:ligatures w14:val="none"/>
              </w:rPr>
            </w:pPr>
            <w:r w:rsidRPr="00317623">
              <w:rPr>
                <w:rFonts w:ascii="Calibri" w:eastAsia="Times New Roman" w:hAnsi="Calibri" w:cs="Calibri"/>
                <w:kern w:val="0"/>
                <w:sz w:val="20"/>
                <w:szCs w:val="20"/>
                <w:lang w:eastAsia="pt-BR"/>
                <w14:ligatures w14:val="none"/>
              </w:rPr>
              <w:t>A autenticidade deste documento pode ser conferida no site </w:t>
            </w:r>
            <w:hyperlink r:id="rId9" w:tgtFrame="_blank" w:tooltip="Página de Autenticidade de Documentos" w:history="1">
              <w:r w:rsidRPr="00317623">
                <w:rPr>
                  <w:rFonts w:ascii="Calibri" w:eastAsia="Times New Roman" w:hAnsi="Calibri" w:cs="Calibri"/>
                  <w:color w:val="0000FF"/>
                  <w:kern w:val="0"/>
                  <w:sz w:val="20"/>
                  <w:szCs w:val="20"/>
                  <w:u w:val="single"/>
                  <w:lang w:eastAsia="pt-BR"/>
                  <w14:ligatures w14:val="none"/>
                </w:rPr>
                <w:t>portal do SEI</w:t>
              </w:r>
            </w:hyperlink>
            <w:r w:rsidRPr="00317623">
              <w:rPr>
                <w:rFonts w:ascii="Calibri" w:eastAsia="Times New Roman" w:hAnsi="Calibri" w:cs="Calibri"/>
                <w:kern w:val="0"/>
                <w:sz w:val="20"/>
                <w:szCs w:val="20"/>
                <w:lang w:eastAsia="pt-BR"/>
                <w14:ligatures w14:val="none"/>
              </w:rPr>
              <w:t>, informando o código verificador </w:t>
            </w:r>
            <w:r w:rsidRPr="00317623">
              <w:rPr>
                <w:rFonts w:ascii="Calibri" w:eastAsia="Times New Roman" w:hAnsi="Calibri" w:cs="Calibri"/>
                <w:b/>
                <w:bCs/>
                <w:kern w:val="0"/>
                <w:sz w:val="20"/>
                <w:szCs w:val="20"/>
                <w:lang w:eastAsia="pt-BR"/>
                <w14:ligatures w14:val="none"/>
              </w:rPr>
              <w:t>0038456926</w:t>
            </w:r>
            <w:r w:rsidRPr="00317623">
              <w:rPr>
                <w:rFonts w:ascii="Calibri" w:eastAsia="Times New Roman" w:hAnsi="Calibri" w:cs="Calibri"/>
                <w:kern w:val="0"/>
                <w:sz w:val="20"/>
                <w:szCs w:val="20"/>
                <w:lang w:eastAsia="pt-BR"/>
                <w14:ligatures w14:val="none"/>
              </w:rPr>
              <w:t> e o código CRC </w:t>
            </w:r>
            <w:r w:rsidRPr="00317623">
              <w:rPr>
                <w:rFonts w:ascii="Calibri" w:eastAsia="Times New Roman" w:hAnsi="Calibri" w:cs="Calibri"/>
                <w:b/>
                <w:bCs/>
                <w:kern w:val="0"/>
                <w:sz w:val="20"/>
                <w:szCs w:val="20"/>
                <w:lang w:eastAsia="pt-BR"/>
                <w14:ligatures w14:val="none"/>
              </w:rPr>
              <w:t>75AD8CB5</w:t>
            </w:r>
            <w:r w:rsidRPr="00317623">
              <w:rPr>
                <w:rFonts w:ascii="Calibri" w:eastAsia="Times New Roman" w:hAnsi="Calibri" w:cs="Calibri"/>
                <w:kern w:val="0"/>
                <w:sz w:val="20"/>
                <w:szCs w:val="20"/>
                <w:lang w:eastAsia="pt-BR"/>
                <w14:ligatures w14:val="none"/>
              </w:rPr>
              <w:t>.</w:t>
            </w:r>
          </w:p>
        </w:tc>
      </w:tr>
    </w:tbl>
    <w:p w14:paraId="36E5BA57" w14:textId="77777777" w:rsidR="00E73062" w:rsidRPr="00317623" w:rsidRDefault="00E73062" w:rsidP="00317623">
      <w:pPr>
        <w:jc w:val="both"/>
        <w:rPr>
          <w:rFonts w:ascii="Calibri" w:hAnsi="Calibri" w:cs="Calibri"/>
          <w:sz w:val="24"/>
          <w:szCs w:val="24"/>
        </w:rPr>
      </w:pPr>
    </w:p>
    <w:sectPr w:rsidR="00E73062" w:rsidRPr="00317623" w:rsidSect="00317623">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623"/>
    <w:rsid w:val="002F74CD"/>
    <w:rsid w:val="00317623"/>
    <w:rsid w:val="003A75CF"/>
    <w:rsid w:val="00435C29"/>
    <w:rsid w:val="00B66767"/>
    <w:rsid w:val="00E73062"/>
    <w:rsid w:val="00F87D8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F61D0E"/>
  <w15:chartTrackingRefBased/>
  <w15:docId w15:val="{E0A1B8BB-11F0-42D9-9613-40E17F8AA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3176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3176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31762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31762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31762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31762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31762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31762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317623"/>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317623"/>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317623"/>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317623"/>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317623"/>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317623"/>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317623"/>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317623"/>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317623"/>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317623"/>
    <w:rPr>
      <w:rFonts w:eastAsiaTheme="majorEastAsia" w:cstheme="majorBidi"/>
      <w:color w:val="272727" w:themeColor="text1" w:themeTint="D8"/>
    </w:rPr>
  </w:style>
  <w:style w:type="paragraph" w:styleId="Ttulo">
    <w:name w:val="Title"/>
    <w:basedOn w:val="Normal"/>
    <w:next w:val="Normal"/>
    <w:link w:val="TtuloChar"/>
    <w:uiPriority w:val="10"/>
    <w:qFormat/>
    <w:rsid w:val="003176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31762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317623"/>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317623"/>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317623"/>
    <w:pPr>
      <w:spacing w:before="160"/>
      <w:jc w:val="center"/>
    </w:pPr>
    <w:rPr>
      <w:i/>
      <w:iCs/>
      <w:color w:val="404040" w:themeColor="text1" w:themeTint="BF"/>
    </w:rPr>
  </w:style>
  <w:style w:type="character" w:customStyle="1" w:styleId="CitaoChar">
    <w:name w:val="Citação Char"/>
    <w:basedOn w:val="Fontepargpadro"/>
    <w:link w:val="Citao"/>
    <w:uiPriority w:val="29"/>
    <w:rsid w:val="00317623"/>
    <w:rPr>
      <w:i/>
      <w:iCs/>
      <w:color w:val="404040" w:themeColor="text1" w:themeTint="BF"/>
    </w:rPr>
  </w:style>
  <w:style w:type="paragraph" w:styleId="PargrafodaLista">
    <w:name w:val="List Paragraph"/>
    <w:basedOn w:val="Normal"/>
    <w:uiPriority w:val="34"/>
    <w:qFormat/>
    <w:rsid w:val="00317623"/>
    <w:pPr>
      <w:ind w:left="720"/>
      <w:contextualSpacing/>
    </w:pPr>
  </w:style>
  <w:style w:type="character" w:styleId="nfaseIntensa">
    <w:name w:val="Intense Emphasis"/>
    <w:basedOn w:val="Fontepargpadro"/>
    <w:uiPriority w:val="21"/>
    <w:qFormat/>
    <w:rsid w:val="00317623"/>
    <w:rPr>
      <w:i/>
      <w:iCs/>
      <w:color w:val="0F4761" w:themeColor="accent1" w:themeShade="BF"/>
    </w:rPr>
  </w:style>
  <w:style w:type="paragraph" w:styleId="CitaoIntensa">
    <w:name w:val="Intense Quote"/>
    <w:basedOn w:val="Normal"/>
    <w:next w:val="Normal"/>
    <w:link w:val="CitaoIntensaChar"/>
    <w:uiPriority w:val="30"/>
    <w:qFormat/>
    <w:rsid w:val="003176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317623"/>
    <w:rPr>
      <w:i/>
      <w:iCs/>
      <w:color w:val="0F4761" w:themeColor="accent1" w:themeShade="BF"/>
    </w:rPr>
  </w:style>
  <w:style w:type="character" w:styleId="RefernciaIntensa">
    <w:name w:val="Intense Reference"/>
    <w:basedOn w:val="Fontepargpadro"/>
    <w:uiPriority w:val="32"/>
    <w:qFormat/>
    <w:rsid w:val="00317623"/>
    <w:rPr>
      <w:b/>
      <w:bCs/>
      <w:smallCaps/>
      <w:color w:val="0F4761" w:themeColor="accent1" w:themeShade="BF"/>
      <w:spacing w:val="5"/>
    </w:rPr>
  </w:style>
  <w:style w:type="paragraph" w:styleId="NormalWeb">
    <w:name w:val="Normal (Web)"/>
    <w:basedOn w:val="Normal"/>
    <w:uiPriority w:val="99"/>
    <w:semiHidden/>
    <w:unhideWhenUsed/>
    <w:rsid w:val="0031762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centralizartexto">
    <w:name w:val="new_centralizar_texto"/>
    <w:basedOn w:val="Normal"/>
    <w:rsid w:val="0031762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ementa">
    <w:name w:val="new_ementa"/>
    <w:basedOn w:val="Normal"/>
    <w:rsid w:val="0031762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newtextojustificadorecprimeirlinhaespsimp">
    <w:name w:val="new_texto_justificado_rec_primeir_linha_esp_simp"/>
    <w:basedOn w:val="Normal"/>
    <w:rsid w:val="0031762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317623"/>
    <w:rPr>
      <w:b/>
      <w:bCs/>
    </w:rPr>
  </w:style>
  <w:style w:type="paragraph" w:customStyle="1" w:styleId="newtabelatextocentralizado">
    <w:name w:val="new_tabela_texto_centralizado"/>
    <w:basedOn w:val="Normal"/>
    <w:rsid w:val="0031762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Hyperlink">
    <w:name w:val="Hyperlink"/>
    <w:basedOn w:val="Fontepargpadro"/>
    <w:uiPriority w:val="99"/>
    <w:semiHidden/>
    <w:unhideWhenUsed/>
    <w:rsid w:val="0031762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2608277">
      <w:bodyDiv w:val="1"/>
      <w:marLeft w:val="0"/>
      <w:marRight w:val="0"/>
      <w:marTop w:val="0"/>
      <w:marBottom w:val="0"/>
      <w:divBdr>
        <w:top w:val="none" w:sz="0" w:space="0" w:color="auto"/>
        <w:left w:val="none" w:sz="0" w:space="0" w:color="auto"/>
        <w:bottom w:val="none" w:sz="0" w:space="0" w:color="auto"/>
        <w:right w:val="none" w:sz="0" w:space="0" w:color="auto"/>
      </w:divBdr>
      <w:divsChild>
        <w:div w:id="2096784035">
          <w:marLeft w:val="0"/>
          <w:marRight w:val="0"/>
          <w:marTop w:val="0"/>
          <w:marBottom w:val="0"/>
          <w:divBdr>
            <w:top w:val="single" w:sz="12" w:space="3" w:color="777777"/>
            <w:left w:val="single" w:sz="12" w:space="3" w:color="777777"/>
            <w:bottom w:val="single" w:sz="12" w:space="3" w:color="777777"/>
            <w:right w:val="single" w:sz="12" w:space="3" w:color="777777"/>
          </w:divBdr>
        </w:div>
        <w:div w:id="735712663">
          <w:marLeft w:val="0"/>
          <w:marRight w:val="0"/>
          <w:marTop w:val="0"/>
          <w:marBottom w:val="0"/>
          <w:divBdr>
            <w:top w:val="none" w:sz="0" w:space="0" w:color="auto"/>
            <w:left w:val="none" w:sz="0" w:space="0" w:color="auto"/>
            <w:bottom w:val="none" w:sz="0" w:space="0" w:color="auto"/>
            <w:right w:val="none" w:sz="0" w:space="0" w:color="auto"/>
          </w:divBdr>
        </w:div>
        <w:div w:id="2062437688">
          <w:marLeft w:val="0"/>
          <w:marRight w:val="0"/>
          <w:marTop w:val="0"/>
          <w:marBottom w:val="0"/>
          <w:divBdr>
            <w:top w:val="none" w:sz="0" w:space="0" w:color="auto"/>
            <w:left w:val="none" w:sz="0" w:space="0" w:color="auto"/>
            <w:bottom w:val="none" w:sz="0" w:space="0" w:color="auto"/>
            <w:right w:val="none" w:sz="0" w:space="0" w:color="auto"/>
          </w:divBdr>
          <w:divsChild>
            <w:div w:id="1459109892">
              <w:marLeft w:val="0"/>
              <w:marRight w:val="0"/>
              <w:marTop w:val="0"/>
              <w:marBottom w:val="0"/>
              <w:divBdr>
                <w:top w:val="none" w:sz="0" w:space="0" w:color="auto"/>
                <w:left w:val="none" w:sz="0" w:space="0" w:color="auto"/>
                <w:bottom w:val="none" w:sz="0" w:space="0" w:color="auto"/>
                <w:right w:val="none" w:sz="0" w:space="0" w:color="auto"/>
              </w:divBdr>
            </w:div>
            <w:div w:id="2042781341">
              <w:marLeft w:val="0"/>
              <w:marRight w:val="0"/>
              <w:marTop w:val="0"/>
              <w:marBottom w:val="0"/>
              <w:divBdr>
                <w:top w:val="none" w:sz="0" w:space="0" w:color="auto"/>
                <w:left w:val="none" w:sz="0" w:space="0" w:color="auto"/>
                <w:bottom w:val="none" w:sz="0" w:space="0" w:color="auto"/>
                <w:right w:val="none" w:sz="0" w:space="0" w:color="auto"/>
              </w:divBdr>
            </w:div>
            <w:div w:id="1174563768">
              <w:marLeft w:val="0"/>
              <w:marRight w:val="0"/>
              <w:marTop w:val="0"/>
              <w:marBottom w:val="0"/>
              <w:divBdr>
                <w:top w:val="none" w:sz="0" w:space="0" w:color="auto"/>
                <w:left w:val="none" w:sz="0" w:space="0" w:color="auto"/>
                <w:bottom w:val="none" w:sz="0" w:space="0" w:color="auto"/>
                <w:right w:val="none" w:sz="0" w:space="0" w:color="auto"/>
              </w:divBdr>
            </w:div>
            <w:div w:id="123159962">
              <w:marLeft w:val="0"/>
              <w:marRight w:val="0"/>
              <w:marTop w:val="0"/>
              <w:marBottom w:val="0"/>
              <w:divBdr>
                <w:top w:val="none" w:sz="0" w:space="0" w:color="auto"/>
                <w:left w:val="none" w:sz="0" w:space="0" w:color="auto"/>
                <w:bottom w:val="none" w:sz="0" w:space="0" w:color="auto"/>
                <w:right w:val="none" w:sz="0" w:space="0" w:color="auto"/>
              </w:divBdr>
            </w:div>
            <w:div w:id="907108057">
              <w:marLeft w:val="0"/>
              <w:marRight w:val="0"/>
              <w:marTop w:val="0"/>
              <w:marBottom w:val="0"/>
              <w:divBdr>
                <w:top w:val="none" w:sz="0" w:space="0" w:color="auto"/>
                <w:left w:val="none" w:sz="0" w:space="0" w:color="auto"/>
                <w:bottom w:val="none" w:sz="0" w:space="0" w:color="auto"/>
                <w:right w:val="none" w:sz="0" w:space="0" w:color="auto"/>
              </w:divBdr>
            </w:div>
            <w:div w:id="1053505558">
              <w:marLeft w:val="0"/>
              <w:marRight w:val="0"/>
              <w:marTop w:val="0"/>
              <w:marBottom w:val="0"/>
              <w:divBdr>
                <w:top w:val="none" w:sz="0" w:space="0" w:color="auto"/>
                <w:left w:val="none" w:sz="0" w:space="0" w:color="auto"/>
                <w:bottom w:val="none" w:sz="0" w:space="0" w:color="auto"/>
                <w:right w:val="none" w:sz="0" w:space="0" w:color="auto"/>
              </w:divBdr>
            </w:div>
            <w:div w:id="1039474378">
              <w:marLeft w:val="0"/>
              <w:marRight w:val="0"/>
              <w:marTop w:val="0"/>
              <w:marBottom w:val="0"/>
              <w:divBdr>
                <w:top w:val="none" w:sz="0" w:space="0" w:color="auto"/>
                <w:left w:val="none" w:sz="0" w:space="0" w:color="auto"/>
                <w:bottom w:val="none" w:sz="0" w:space="0" w:color="auto"/>
                <w:right w:val="none" w:sz="0" w:space="0" w:color="auto"/>
              </w:divBdr>
            </w:div>
            <w:div w:id="1314722984">
              <w:marLeft w:val="0"/>
              <w:marRight w:val="0"/>
              <w:marTop w:val="0"/>
              <w:marBottom w:val="0"/>
              <w:divBdr>
                <w:top w:val="none" w:sz="0" w:space="0" w:color="auto"/>
                <w:left w:val="none" w:sz="0" w:space="0" w:color="auto"/>
                <w:bottom w:val="none" w:sz="0" w:space="0" w:color="auto"/>
                <w:right w:val="none" w:sz="0" w:space="0" w:color="auto"/>
              </w:divBdr>
            </w:div>
            <w:div w:id="2115858617">
              <w:marLeft w:val="0"/>
              <w:marRight w:val="0"/>
              <w:marTop w:val="0"/>
              <w:marBottom w:val="0"/>
              <w:divBdr>
                <w:top w:val="none" w:sz="0" w:space="0" w:color="auto"/>
                <w:left w:val="none" w:sz="0" w:space="0" w:color="auto"/>
                <w:bottom w:val="none" w:sz="0" w:space="0" w:color="auto"/>
                <w:right w:val="none" w:sz="0" w:space="0" w:color="auto"/>
              </w:divBdr>
            </w:div>
            <w:div w:id="178549563">
              <w:marLeft w:val="0"/>
              <w:marRight w:val="0"/>
              <w:marTop w:val="0"/>
              <w:marBottom w:val="0"/>
              <w:divBdr>
                <w:top w:val="none" w:sz="0" w:space="0" w:color="auto"/>
                <w:left w:val="none" w:sz="0" w:space="0" w:color="auto"/>
                <w:bottom w:val="none" w:sz="0" w:space="0" w:color="auto"/>
                <w:right w:val="none" w:sz="0" w:space="0" w:color="auto"/>
              </w:divBdr>
            </w:div>
            <w:div w:id="1144588855">
              <w:marLeft w:val="0"/>
              <w:marRight w:val="0"/>
              <w:marTop w:val="0"/>
              <w:marBottom w:val="0"/>
              <w:divBdr>
                <w:top w:val="none" w:sz="0" w:space="0" w:color="auto"/>
                <w:left w:val="none" w:sz="0" w:space="0" w:color="auto"/>
                <w:bottom w:val="none" w:sz="0" w:space="0" w:color="auto"/>
                <w:right w:val="none" w:sz="0" w:space="0" w:color="auto"/>
              </w:divBdr>
            </w:div>
            <w:div w:id="1611817350">
              <w:marLeft w:val="0"/>
              <w:marRight w:val="0"/>
              <w:marTop w:val="0"/>
              <w:marBottom w:val="0"/>
              <w:divBdr>
                <w:top w:val="none" w:sz="0" w:space="0" w:color="auto"/>
                <w:left w:val="none" w:sz="0" w:space="0" w:color="auto"/>
                <w:bottom w:val="none" w:sz="0" w:space="0" w:color="auto"/>
                <w:right w:val="none" w:sz="0" w:space="0" w:color="auto"/>
              </w:divBdr>
            </w:div>
            <w:div w:id="1966349221">
              <w:marLeft w:val="0"/>
              <w:marRight w:val="0"/>
              <w:marTop w:val="0"/>
              <w:marBottom w:val="0"/>
              <w:divBdr>
                <w:top w:val="none" w:sz="0" w:space="0" w:color="auto"/>
                <w:left w:val="none" w:sz="0" w:space="0" w:color="auto"/>
                <w:bottom w:val="none" w:sz="0" w:space="0" w:color="auto"/>
                <w:right w:val="none" w:sz="0" w:space="0" w:color="auto"/>
              </w:divBdr>
            </w:div>
            <w:div w:id="238905081">
              <w:marLeft w:val="0"/>
              <w:marRight w:val="0"/>
              <w:marTop w:val="0"/>
              <w:marBottom w:val="0"/>
              <w:divBdr>
                <w:top w:val="none" w:sz="0" w:space="0" w:color="auto"/>
                <w:left w:val="none" w:sz="0" w:space="0" w:color="auto"/>
                <w:bottom w:val="none" w:sz="0" w:space="0" w:color="auto"/>
                <w:right w:val="none" w:sz="0" w:space="0" w:color="auto"/>
              </w:divBdr>
            </w:div>
            <w:div w:id="136655880">
              <w:marLeft w:val="0"/>
              <w:marRight w:val="0"/>
              <w:marTop w:val="0"/>
              <w:marBottom w:val="0"/>
              <w:divBdr>
                <w:top w:val="none" w:sz="0" w:space="0" w:color="auto"/>
                <w:left w:val="none" w:sz="0" w:space="0" w:color="auto"/>
                <w:bottom w:val="none" w:sz="0" w:space="0" w:color="auto"/>
                <w:right w:val="none" w:sz="0" w:space="0" w:color="auto"/>
              </w:divBdr>
            </w:div>
            <w:div w:id="754131912">
              <w:marLeft w:val="0"/>
              <w:marRight w:val="0"/>
              <w:marTop w:val="0"/>
              <w:marBottom w:val="0"/>
              <w:divBdr>
                <w:top w:val="none" w:sz="0" w:space="0" w:color="auto"/>
                <w:left w:val="none" w:sz="0" w:space="0" w:color="auto"/>
                <w:bottom w:val="none" w:sz="0" w:space="0" w:color="auto"/>
                <w:right w:val="none" w:sz="0" w:space="0" w:color="auto"/>
              </w:divBdr>
            </w:div>
            <w:div w:id="1117412294">
              <w:marLeft w:val="0"/>
              <w:marRight w:val="0"/>
              <w:marTop w:val="0"/>
              <w:marBottom w:val="0"/>
              <w:divBdr>
                <w:top w:val="none" w:sz="0" w:space="0" w:color="auto"/>
                <w:left w:val="none" w:sz="0" w:space="0" w:color="auto"/>
                <w:bottom w:val="none" w:sz="0" w:space="0" w:color="auto"/>
                <w:right w:val="none" w:sz="0" w:space="0" w:color="auto"/>
              </w:divBdr>
            </w:div>
            <w:div w:id="1776241872">
              <w:marLeft w:val="0"/>
              <w:marRight w:val="0"/>
              <w:marTop w:val="0"/>
              <w:marBottom w:val="0"/>
              <w:divBdr>
                <w:top w:val="none" w:sz="0" w:space="0" w:color="auto"/>
                <w:left w:val="none" w:sz="0" w:space="0" w:color="auto"/>
                <w:bottom w:val="none" w:sz="0" w:space="0" w:color="auto"/>
                <w:right w:val="none" w:sz="0" w:space="0" w:color="auto"/>
              </w:divBdr>
            </w:div>
            <w:div w:id="1542595875">
              <w:marLeft w:val="0"/>
              <w:marRight w:val="0"/>
              <w:marTop w:val="0"/>
              <w:marBottom w:val="0"/>
              <w:divBdr>
                <w:top w:val="none" w:sz="0" w:space="0" w:color="auto"/>
                <w:left w:val="none" w:sz="0" w:space="0" w:color="auto"/>
                <w:bottom w:val="none" w:sz="0" w:space="0" w:color="auto"/>
                <w:right w:val="none" w:sz="0" w:space="0" w:color="auto"/>
              </w:divBdr>
            </w:div>
            <w:div w:id="1032075059">
              <w:marLeft w:val="0"/>
              <w:marRight w:val="0"/>
              <w:marTop w:val="0"/>
              <w:marBottom w:val="0"/>
              <w:divBdr>
                <w:top w:val="none" w:sz="0" w:space="0" w:color="auto"/>
                <w:left w:val="none" w:sz="0" w:space="0" w:color="auto"/>
                <w:bottom w:val="none" w:sz="0" w:space="0" w:color="auto"/>
                <w:right w:val="none" w:sz="0" w:space="0" w:color="auto"/>
              </w:divBdr>
            </w:div>
            <w:div w:id="1140803011">
              <w:marLeft w:val="0"/>
              <w:marRight w:val="0"/>
              <w:marTop w:val="0"/>
              <w:marBottom w:val="0"/>
              <w:divBdr>
                <w:top w:val="none" w:sz="0" w:space="0" w:color="auto"/>
                <w:left w:val="none" w:sz="0" w:space="0" w:color="auto"/>
                <w:bottom w:val="none" w:sz="0" w:space="0" w:color="auto"/>
                <w:right w:val="none" w:sz="0" w:space="0" w:color="auto"/>
              </w:divBdr>
            </w:div>
            <w:div w:id="1486775591">
              <w:marLeft w:val="0"/>
              <w:marRight w:val="0"/>
              <w:marTop w:val="0"/>
              <w:marBottom w:val="0"/>
              <w:divBdr>
                <w:top w:val="none" w:sz="0" w:space="0" w:color="auto"/>
                <w:left w:val="none" w:sz="0" w:space="0" w:color="auto"/>
                <w:bottom w:val="none" w:sz="0" w:space="0" w:color="auto"/>
                <w:right w:val="none" w:sz="0" w:space="0" w:color="auto"/>
              </w:divBdr>
            </w:div>
            <w:div w:id="954336556">
              <w:marLeft w:val="0"/>
              <w:marRight w:val="0"/>
              <w:marTop w:val="0"/>
              <w:marBottom w:val="0"/>
              <w:divBdr>
                <w:top w:val="none" w:sz="0" w:space="0" w:color="auto"/>
                <w:left w:val="none" w:sz="0" w:space="0" w:color="auto"/>
                <w:bottom w:val="none" w:sz="0" w:space="0" w:color="auto"/>
                <w:right w:val="none" w:sz="0" w:space="0" w:color="auto"/>
              </w:divBdr>
            </w:div>
            <w:div w:id="72358732">
              <w:marLeft w:val="0"/>
              <w:marRight w:val="0"/>
              <w:marTop w:val="0"/>
              <w:marBottom w:val="0"/>
              <w:divBdr>
                <w:top w:val="none" w:sz="0" w:space="0" w:color="auto"/>
                <w:left w:val="none" w:sz="0" w:space="0" w:color="auto"/>
                <w:bottom w:val="none" w:sz="0" w:space="0" w:color="auto"/>
                <w:right w:val="none" w:sz="0" w:space="0" w:color="auto"/>
              </w:divBdr>
            </w:div>
            <w:div w:id="906502148">
              <w:marLeft w:val="0"/>
              <w:marRight w:val="0"/>
              <w:marTop w:val="0"/>
              <w:marBottom w:val="0"/>
              <w:divBdr>
                <w:top w:val="none" w:sz="0" w:space="0" w:color="auto"/>
                <w:left w:val="none" w:sz="0" w:space="0" w:color="auto"/>
                <w:bottom w:val="none" w:sz="0" w:space="0" w:color="auto"/>
                <w:right w:val="none" w:sz="0" w:space="0" w:color="auto"/>
              </w:divBdr>
            </w:div>
            <w:div w:id="1138650182">
              <w:marLeft w:val="0"/>
              <w:marRight w:val="0"/>
              <w:marTop w:val="0"/>
              <w:marBottom w:val="0"/>
              <w:divBdr>
                <w:top w:val="none" w:sz="0" w:space="0" w:color="auto"/>
                <w:left w:val="none" w:sz="0" w:space="0" w:color="auto"/>
                <w:bottom w:val="none" w:sz="0" w:space="0" w:color="auto"/>
                <w:right w:val="none" w:sz="0" w:space="0" w:color="auto"/>
              </w:divBdr>
            </w:div>
            <w:div w:id="1878393862">
              <w:marLeft w:val="0"/>
              <w:marRight w:val="0"/>
              <w:marTop w:val="0"/>
              <w:marBottom w:val="0"/>
              <w:divBdr>
                <w:top w:val="none" w:sz="0" w:space="0" w:color="auto"/>
                <w:left w:val="none" w:sz="0" w:space="0" w:color="auto"/>
                <w:bottom w:val="none" w:sz="0" w:space="0" w:color="auto"/>
                <w:right w:val="none" w:sz="0" w:space="0" w:color="auto"/>
              </w:divBdr>
            </w:div>
            <w:div w:id="1927760897">
              <w:marLeft w:val="0"/>
              <w:marRight w:val="0"/>
              <w:marTop w:val="0"/>
              <w:marBottom w:val="0"/>
              <w:divBdr>
                <w:top w:val="none" w:sz="0" w:space="0" w:color="auto"/>
                <w:left w:val="none" w:sz="0" w:space="0" w:color="auto"/>
                <w:bottom w:val="none" w:sz="0" w:space="0" w:color="auto"/>
                <w:right w:val="none" w:sz="0" w:space="0" w:color="auto"/>
              </w:divBdr>
            </w:div>
            <w:div w:id="1380476214">
              <w:marLeft w:val="0"/>
              <w:marRight w:val="0"/>
              <w:marTop w:val="0"/>
              <w:marBottom w:val="0"/>
              <w:divBdr>
                <w:top w:val="none" w:sz="0" w:space="0" w:color="auto"/>
                <w:left w:val="none" w:sz="0" w:space="0" w:color="auto"/>
                <w:bottom w:val="none" w:sz="0" w:space="0" w:color="auto"/>
                <w:right w:val="none" w:sz="0" w:space="0" w:color="auto"/>
              </w:divBdr>
            </w:div>
            <w:div w:id="1845775496">
              <w:marLeft w:val="0"/>
              <w:marRight w:val="0"/>
              <w:marTop w:val="0"/>
              <w:marBottom w:val="0"/>
              <w:divBdr>
                <w:top w:val="none" w:sz="0" w:space="0" w:color="auto"/>
                <w:left w:val="none" w:sz="0" w:space="0" w:color="auto"/>
                <w:bottom w:val="none" w:sz="0" w:space="0" w:color="auto"/>
                <w:right w:val="none" w:sz="0" w:space="0" w:color="auto"/>
              </w:divBdr>
            </w:div>
            <w:div w:id="198202726">
              <w:marLeft w:val="0"/>
              <w:marRight w:val="0"/>
              <w:marTop w:val="0"/>
              <w:marBottom w:val="0"/>
              <w:divBdr>
                <w:top w:val="none" w:sz="0" w:space="0" w:color="auto"/>
                <w:left w:val="none" w:sz="0" w:space="0" w:color="auto"/>
                <w:bottom w:val="none" w:sz="0" w:space="0" w:color="auto"/>
                <w:right w:val="none" w:sz="0" w:space="0" w:color="auto"/>
              </w:divBdr>
            </w:div>
            <w:div w:id="1448621986">
              <w:marLeft w:val="0"/>
              <w:marRight w:val="0"/>
              <w:marTop w:val="0"/>
              <w:marBottom w:val="0"/>
              <w:divBdr>
                <w:top w:val="none" w:sz="0" w:space="0" w:color="auto"/>
                <w:left w:val="none" w:sz="0" w:space="0" w:color="auto"/>
                <w:bottom w:val="none" w:sz="0" w:space="0" w:color="auto"/>
                <w:right w:val="none" w:sz="0" w:space="0" w:color="auto"/>
              </w:divBdr>
            </w:div>
            <w:div w:id="1525364052">
              <w:marLeft w:val="0"/>
              <w:marRight w:val="0"/>
              <w:marTop w:val="0"/>
              <w:marBottom w:val="0"/>
              <w:divBdr>
                <w:top w:val="none" w:sz="0" w:space="0" w:color="auto"/>
                <w:left w:val="none" w:sz="0" w:space="0" w:color="auto"/>
                <w:bottom w:val="none" w:sz="0" w:space="0" w:color="auto"/>
                <w:right w:val="none" w:sz="0" w:space="0" w:color="auto"/>
              </w:divBdr>
            </w:div>
          </w:divsChild>
        </w:div>
        <w:div w:id="6309827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3</Pages>
  <Words>1383</Words>
  <Characters>7474</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Huther de Moraes</dc:creator>
  <cp:keywords/>
  <dc:description/>
  <cp:lastModifiedBy>Claudio Huther de Moraes</cp:lastModifiedBy>
  <cp:revision>3</cp:revision>
  <dcterms:created xsi:type="dcterms:W3CDTF">2024-02-19T14:42:00Z</dcterms:created>
  <dcterms:modified xsi:type="dcterms:W3CDTF">2024-02-19T14:59:00Z</dcterms:modified>
</cp:coreProperties>
</file>